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right" w:pos="9639"/>
          <w:tab w:val="right" w:pos="13323"/>
        </w:tabs>
        <w:spacing w:after="0"/>
        <w:rPr>
          <w:rFonts w:hint="default" w:eastAsia="宋体" w:cs="Arial"/>
          <w:b/>
          <w:sz w:val="24"/>
          <w:szCs w:val="24"/>
          <w:highlight w:val="none"/>
          <w:lang w:val="en-US" w:eastAsia="zh-CN"/>
        </w:rPr>
      </w:pPr>
      <w:r>
        <w:rPr>
          <w:rFonts w:cs="Arial"/>
          <w:b/>
          <w:bCs/>
          <w:sz w:val="24"/>
          <w:szCs w:val="24"/>
          <w:highlight w:val="none"/>
        </w:rPr>
        <w:t>3GPP TSG-RAN WG3 Meeting #1</w:t>
      </w:r>
      <w:r>
        <w:rPr>
          <w:rFonts w:hint="eastAsia" w:eastAsia="宋体" w:cs="Arial"/>
          <w:b/>
          <w:bCs/>
          <w:sz w:val="24"/>
          <w:szCs w:val="24"/>
          <w:highlight w:val="none"/>
          <w:lang w:val="en-US" w:eastAsia="zh-CN"/>
        </w:rPr>
        <w:t>21</w:t>
      </w:r>
      <w:r>
        <w:rPr>
          <w:rFonts w:cs="Arial"/>
          <w:b/>
          <w:sz w:val="24"/>
          <w:szCs w:val="24"/>
          <w:highlight w:val="none"/>
        </w:rPr>
        <w:tab/>
      </w:r>
      <w:r>
        <w:rPr>
          <w:rFonts w:hint="eastAsia"/>
          <w:b/>
          <w:i/>
          <w:sz w:val="28"/>
          <w:highlight w:val="none"/>
        </w:rPr>
        <w:t>R3-234402</w:t>
      </w:r>
      <w:bookmarkStart w:id="0" w:name="_GoBack"/>
      <w:bookmarkEnd w:id="0"/>
    </w:p>
    <w:p>
      <w:pPr>
        <w:pStyle w:val="15"/>
        <w:jc w:val="both"/>
        <w:rPr>
          <w:rFonts w:hint="eastAsia" w:eastAsia="宋体"/>
          <w:b/>
          <w:bCs w:val="0"/>
          <w:i w:val="0"/>
          <w:sz w:val="24"/>
          <w:highlight w:val="none"/>
        </w:rPr>
      </w:pPr>
      <w:r>
        <w:rPr>
          <w:rFonts w:hint="eastAsia" w:eastAsia="宋体"/>
          <w:b/>
          <w:bCs w:val="0"/>
          <w:i w:val="0"/>
          <w:sz w:val="24"/>
          <w:highlight w:val="none"/>
        </w:rPr>
        <w:t>Toulouse, 2</w:t>
      </w:r>
      <w:r>
        <w:rPr>
          <w:rFonts w:hint="eastAsia" w:eastAsia="宋体"/>
          <w:b/>
          <w:bCs w:val="0"/>
          <w:i w:val="0"/>
          <w:sz w:val="24"/>
          <w:highlight w:val="none"/>
          <w:lang w:val="en-US" w:eastAsia="zh-CN"/>
        </w:rPr>
        <w:t>1</w:t>
      </w:r>
      <w:r>
        <w:rPr>
          <w:rFonts w:hint="eastAsia" w:eastAsia="宋体"/>
          <w:b/>
          <w:bCs w:val="0"/>
          <w:i w:val="0"/>
          <w:sz w:val="24"/>
          <w:highlight w:val="none"/>
        </w:rPr>
        <w:t xml:space="preserve"> </w:t>
      </w:r>
      <w:r>
        <w:rPr>
          <w:rFonts w:hint="eastAsia" w:eastAsia="宋体"/>
          <w:b/>
          <w:bCs w:val="0"/>
          <w:i w:val="0"/>
          <w:sz w:val="24"/>
          <w:highlight w:val="none"/>
          <w:lang w:val="en-US" w:eastAsia="zh-CN"/>
        </w:rPr>
        <w:t>Aug</w:t>
      </w:r>
      <w:r>
        <w:rPr>
          <w:rFonts w:hint="eastAsia" w:eastAsia="宋体"/>
          <w:b/>
          <w:bCs w:val="0"/>
          <w:i w:val="0"/>
          <w:sz w:val="24"/>
          <w:highlight w:val="none"/>
        </w:rPr>
        <w:t xml:space="preserve"> – 2</w:t>
      </w:r>
      <w:r>
        <w:rPr>
          <w:rFonts w:hint="eastAsia" w:eastAsia="宋体"/>
          <w:b/>
          <w:bCs w:val="0"/>
          <w:i w:val="0"/>
          <w:sz w:val="24"/>
          <w:highlight w:val="none"/>
          <w:lang w:val="en-US" w:eastAsia="zh-CN"/>
        </w:rPr>
        <w:t>5</w:t>
      </w:r>
      <w:r>
        <w:rPr>
          <w:rFonts w:hint="eastAsia" w:eastAsia="宋体"/>
          <w:b/>
          <w:bCs w:val="0"/>
          <w:i w:val="0"/>
          <w:sz w:val="24"/>
          <w:highlight w:val="none"/>
        </w:rPr>
        <w:t xml:space="preserve"> </w:t>
      </w:r>
      <w:r>
        <w:rPr>
          <w:rFonts w:hint="eastAsia" w:eastAsia="宋体"/>
          <w:b/>
          <w:bCs w:val="0"/>
          <w:i w:val="0"/>
          <w:sz w:val="24"/>
          <w:highlight w:val="none"/>
          <w:lang w:val="en-US" w:eastAsia="zh-CN"/>
        </w:rPr>
        <w:t>Aug</w:t>
      </w:r>
      <w:r>
        <w:rPr>
          <w:rFonts w:hint="eastAsia" w:eastAsia="宋体"/>
          <w:b/>
          <w:bCs w:val="0"/>
          <w:i w:val="0"/>
          <w:sz w:val="24"/>
          <w:highlight w:val="none"/>
        </w:rPr>
        <w:t xml:space="preserve"> 2023</w:t>
      </w:r>
    </w:p>
    <w:p>
      <w:pPr>
        <w:pStyle w:val="15"/>
        <w:jc w:val="both"/>
        <w:rPr>
          <w:rFonts w:eastAsia="宋体"/>
          <w:b w:val="0"/>
          <w:i w:val="0"/>
          <w:sz w:val="24"/>
          <w:highlight w:val="none"/>
        </w:rPr>
      </w:pPr>
    </w:p>
    <w:p>
      <w:pPr>
        <w:tabs>
          <w:tab w:val="left" w:pos="1985"/>
        </w:tabs>
        <w:ind w:left="1980" w:hanging="1980"/>
        <w:rPr>
          <w:rStyle w:val="75"/>
          <w:highlight w:val="none"/>
        </w:rPr>
      </w:pPr>
      <w:r>
        <w:rPr>
          <w:b/>
          <w:sz w:val="24"/>
          <w:highlight w:val="none"/>
        </w:rPr>
        <w:t>Title:</w:t>
      </w:r>
      <w:r>
        <w:rPr>
          <w:sz w:val="24"/>
          <w:highlight w:val="none"/>
        </w:rPr>
        <w:t xml:space="preserve"> </w:t>
      </w:r>
      <w:r>
        <w:rPr>
          <w:sz w:val="24"/>
          <w:highlight w:val="none"/>
        </w:rPr>
        <w:tab/>
      </w:r>
      <w:r>
        <w:rPr>
          <w:rFonts w:hint="eastAsia"/>
          <w:sz w:val="24"/>
          <w:highlight w:val="none"/>
        </w:rPr>
        <w:t>Discussion on QoE measurement in NR-DC</w:t>
      </w:r>
    </w:p>
    <w:p>
      <w:pPr>
        <w:tabs>
          <w:tab w:val="left" w:pos="1985"/>
        </w:tabs>
        <w:rPr>
          <w:rStyle w:val="75"/>
          <w:highlight w:val="none"/>
          <w:lang w:val="en-GB"/>
        </w:rPr>
      </w:pPr>
      <w:r>
        <w:rPr>
          <w:b/>
          <w:sz w:val="24"/>
          <w:highlight w:val="none"/>
        </w:rPr>
        <w:t xml:space="preserve">Source: </w:t>
      </w:r>
      <w:r>
        <w:rPr>
          <w:b/>
          <w:sz w:val="24"/>
          <w:highlight w:val="none"/>
        </w:rPr>
        <w:tab/>
      </w:r>
      <w:r>
        <w:rPr>
          <w:rFonts w:hint="eastAsia"/>
          <w:bCs/>
          <w:sz w:val="24"/>
          <w:highlight w:val="none"/>
        </w:rPr>
        <w:t>China Unicom</w:t>
      </w:r>
    </w:p>
    <w:p>
      <w:pPr>
        <w:tabs>
          <w:tab w:val="left" w:pos="1985"/>
        </w:tabs>
        <w:rPr>
          <w:rStyle w:val="75"/>
          <w:highlight w:val="none"/>
          <w:lang w:val="en-GB"/>
        </w:rPr>
      </w:pPr>
      <w:r>
        <w:rPr>
          <w:b/>
          <w:sz w:val="24"/>
          <w:highlight w:val="none"/>
        </w:rPr>
        <w:t>Agenda item:</w:t>
      </w:r>
      <w:r>
        <w:rPr>
          <w:sz w:val="24"/>
          <w:highlight w:val="none"/>
        </w:rPr>
        <w:tab/>
      </w:r>
      <w:r>
        <w:rPr>
          <w:rFonts w:hint="eastAsia"/>
          <w:sz w:val="24"/>
          <w:highlight w:val="none"/>
          <w:lang w:val="en-US"/>
        </w:rPr>
        <w:t>11</w:t>
      </w:r>
      <w:r>
        <w:rPr>
          <w:sz w:val="24"/>
          <w:highlight w:val="none"/>
        </w:rPr>
        <w:t>.3</w:t>
      </w:r>
    </w:p>
    <w:p>
      <w:pPr>
        <w:tabs>
          <w:tab w:val="left" w:pos="1985"/>
        </w:tabs>
        <w:ind w:left="1980" w:hanging="1980"/>
        <w:rPr>
          <w:rStyle w:val="75"/>
          <w:highlight w:val="none"/>
          <w:lang w:val="en-GB"/>
        </w:rPr>
      </w:pPr>
      <w:r>
        <w:rPr>
          <w:b/>
          <w:sz w:val="24"/>
          <w:highlight w:val="none"/>
        </w:rPr>
        <w:t>Document Type:</w:t>
      </w:r>
      <w:r>
        <w:rPr>
          <w:sz w:val="24"/>
          <w:highlight w:val="none"/>
        </w:rPr>
        <w:tab/>
      </w:r>
      <w:r>
        <w:rPr>
          <w:rFonts w:hint="eastAsia"/>
          <w:sz w:val="24"/>
          <w:highlight w:val="none"/>
        </w:rPr>
        <w:t>D</w:t>
      </w:r>
      <w:r>
        <w:rPr>
          <w:sz w:val="24"/>
          <w:highlight w:val="none"/>
        </w:rPr>
        <w:t>iscussion</w:t>
      </w:r>
    </w:p>
    <w:p>
      <w:pPr>
        <w:pStyle w:val="2"/>
        <w:rPr>
          <w:rFonts w:eastAsia="宋体"/>
          <w:highlight w:val="none"/>
        </w:rPr>
      </w:pPr>
      <w:r>
        <w:rPr>
          <w:rFonts w:eastAsia="宋体"/>
          <w:highlight w:val="none"/>
        </w:rPr>
        <w:t>Introduction</w:t>
      </w:r>
    </w:p>
    <w:p>
      <w:pPr>
        <w:rPr>
          <w:rFonts w:ascii="Times New Roman" w:hAnsi="Times New Roman"/>
          <w:sz w:val="21"/>
          <w:szCs w:val="21"/>
          <w:highlight w:val="none"/>
        </w:rPr>
      </w:pPr>
      <w:r>
        <w:rPr>
          <w:rFonts w:ascii="Times New Roman" w:hAnsi="Times New Roman"/>
          <w:sz w:val="21"/>
          <w:szCs w:val="21"/>
          <w:highlight w:val="none"/>
        </w:rPr>
        <w:t>The Work Item on QoE reporting has been agreed in RAN#9</w:t>
      </w:r>
      <w:r>
        <w:rPr>
          <w:rFonts w:ascii="Times New Roman" w:hAnsi="Times New Roman" w:eastAsia="宋体"/>
          <w:sz w:val="21"/>
          <w:szCs w:val="21"/>
          <w:highlight w:val="none"/>
          <w:lang w:val="en-US"/>
        </w:rPr>
        <w:t>6</w:t>
      </w:r>
      <w:r>
        <w:rPr>
          <w:rFonts w:ascii="Times New Roman" w:hAnsi="Times New Roman"/>
          <w:sz w:val="21"/>
          <w:szCs w:val="21"/>
          <w:highlight w:val="none"/>
        </w:rPr>
        <w:t xml:space="preserve"> (RP-2</w:t>
      </w:r>
      <w:r>
        <w:rPr>
          <w:rFonts w:ascii="Times New Roman" w:hAnsi="Times New Roman" w:eastAsia="宋体"/>
          <w:sz w:val="21"/>
          <w:szCs w:val="21"/>
          <w:highlight w:val="none"/>
          <w:lang w:val="en-US"/>
        </w:rPr>
        <w:t>21803</w:t>
      </w:r>
      <w:r>
        <w:rPr>
          <w:rFonts w:ascii="Times New Roman" w:hAnsi="Times New Roman"/>
          <w:sz w:val="21"/>
          <w:szCs w:val="21"/>
          <w:highlight w:val="none"/>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highlight w:val="none"/>
              </w:rPr>
            </w:pPr>
            <w:r>
              <w:rPr>
                <w:rFonts w:ascii="Times New Roman" w:hAnsi="Times New Roman"/>
                <w:bCs/>
                <w:highlight w:val="none"/>
              </w:rPr>
              <w:t>Specify to support for QoE in NR-DC, e.g. enable QoE reporting via SN [RAN3, RAN2].</w:t>
            </w:r>
          </w:p>
          <w:p>
            <w:pPr>
              <w:numPr>
                <w:ilvl w:val="0"/>
                <w:numId w:val="6"/>
              </w:numPr>
              <w:spacing w:after="0"/>
              <w:ind w:left="720" w:hanging="360"/>
              <w:rPr>
                <w:rFonts w:ascii="Times New Roman" w:hAnsi="Times New Roman"/>
                <w:bCs/>
                <w:highlight w:val="none"/>
              </w:rPr>
            </w:pPr>
            <w:r>
              <w:rPr>
                <w:rFonts w:ascii="Times New Roman" w:hAnsi="Times New Roman"/>
                <w:highlight w:val="none"/>
              </w:rPr>
              <w:t>Specify the QoE configuration,</w:t>
            </w:r>
            <w:r>
              <w:rPr>
                <w:rFonts w:ascii="Times New Roman" w:hAnsi="Times New Roman"/>
                <w:highlight w:val="none"/>
                <w:lang w:val="en-US"/>
              </w:rPr>
              <w:t xml:space="preserve"> and</w:t>
            </w:r>
            <w:r>
              <w:rPr>
                <w:rFonts w:ascii="Times New Roman" w:hAnsi="Times New Roman"/>
                <w:highlight w:val="none"/>
              </w:rPr>
              <w:t xml:space="preserve"> measurement reporting over MN/SN for NR-DC architecture, and specify the QoE measurement reporting over the other DC leg </w:t>
            </w:r>
            <w:r>
              <w:rPr>
                <w:rFonts w:ascii="Times New Roman" w:hAnsi="Times New Roman"/>
                <w:highlight w:val="none"/>
                <w:lang w:val="en-US"/>
              </w:rPr>
              <w:t>in order to maintain the reporting continuity</w:t>
            </w:r>
            <w:r>
              <w:rPr>
                <w:rFonts w:ascii="Times New Roman" w:hAnsi="Times New Roman"/>
                <w:highlight w:val="none"/>
              </w:rPr>
              <w:t>.</w:t>
            </w:r>
          </w:p>
          <w:p>
            <w:pPr>
              <w:spacing w:after="0"/>
              <w:ind w:left="720"/>
              <w:rPr>
                <w:rFonts w:ascii="Times New Roman" w:hAnsi="Times New Roman"/>
                <w:bCs/>
                <w:highlight w:val="none"/>
              </w:rPr>
            </w:pPr>
            <w:r>
              <w:rPr>
                <w:rFonts w:ascii="Times New Roman" w:hAnsi="Times New Roman"/>
                <w:bCs/>
                <w:highlight w:val="none"/>
              </w:rPr>
              <w:t>Note 1: The QoE measurements are not perform</w:t>
            </w:r>
            <w:r>
              <w:rPr>
                <w:rFonts w:ascii="Times New Roman" w:hAnsi="Times New Roman"/>
                <w:bCs/>
                <w:highlight w:val="none"/>
                <w:lang w:val="en-US"/>
              </w:rPr>
              <w:t>ed separately</w:t>
            </w:r>
            <w:r>
              <w:rPr>
                <w:rFonts w:ascii="Times New Roman" w:hAnsi="Times New Roman"/>
                <w:bCs/>
                <w:highlight w:val="none"/>
              </w:rPr>
              <w:t xml:space="preserve"> for </w:t>
            </w:r>
            <w:r>
              <w:rPr>
                <w:rFonts w:ascii="Times New Roman" w:hAnsi="Times New Roman"/>
                <w:bCs/>
                <w:highlight w:val="none"/>
                <w:lang w:val="en-US"/>
              </w:rPr>
              <w:t xml:space="preserve">each </w:t>
            </w:r>
            <w:r>
              <w:rPr>
                <w:rFonts w:ascii="Times New Roman" w:hAnsi="Times New Roman"/>
                <w:bCs/>
                <w:highlight w:val="none"/>
              </w:rPr>
              <w:t>leg.</w:t>
            </w:r>
          </w:p>
          <w:p>
            <w:pPr>
              <w:numPr>
                <w:ilvl w:val="0"/>
                <w:numId w:val="6"/>
              </w:numPr>
              <w:spacing w:after="0"/>
              <w:ind w:left="720" w:hanging="360"/>
              <w:rPr>
                <w:rFonts w:ascii="Times New Roman" w:hAnsi="Times New Roman"/>
                <w:bCs/>
                <w:highlight w:val="none"/>
              </w:rPr>
            </w:pPr>
            <w:r>
              <w:rPr>
                <w:rFonts w:ascii="Times New Roman" w:hAnsi="Times New Roman"/>
                <w:bCs/>
                <w:highlight w:val="none"/>
              </w:rPr>
              <w:t xml:space="preserve">Support RAN-visible </w:t>
            </w:r>
            <w:r>
              <w:rPr>
                <w:rFonts w:ascii="Times New Roman" w:hAnsi="Times New Roman"/>
                <w:bCs/>
                <w:highlight w:val="none"/>
                <w:lang w:val="en-US"/>
              </w:rPr>
              <w:t xml:space="preserve">QoE </w:t>
            </w:r>
            <w:r>
              <w:rPr>
                <w:rFonts w:ascii="Times New Roman" w:hAnsi="Times New Roman"/>
                <w:bCs/>
                <w:highlight w:val="none"/>
              </w:rPr>
              <w:t>and radio related measurement configuration and reporting in NR-DC scenarios.</w:t>
            </w:r>
          </w:p>
          <w:p>
            <w:pPr>
              <w:numPr>
                <w:ilvl w:val="0"/>
                <w:numId w:val="6"/>
              </w:numPr>
              <w:spacing w:after="0"/>
              <w:ind w:left="720" w:hanging="360"/>
              <w:rPr>
                <w:rFonts w:ascii="Times New Roman" w:hAnsi="Times New Roman"/>
                <w:bCs/>
                <w:highlight w:val="none"/>
              </w:rPr>
            </w:pPr>
            <w:r>
              <w:rPr>
                <w:rFonts w:ascii="Times New Roman" w:hAnsi="Times New Roman"/>
                <w:highlight w:val="none"/>
              </w:rPr>
              <w:t>Specify the QoE measurement continuity in mobility scenarios in NR-DC</w:t>
            </w:r>
            <w:r>
              <w:rPr>
                <w:rFonts w:ascii="Times New Roman" w:hAnsi="Times New Roman"/>
                <w:bCs/>
                <w:highlight w:val="none"/>
              </w:rPr>
              <w:t>.</w:t>
            </w:r>
          </w:p>
          <w:p>
            <w:pPr>
              <w:numPr>
                <w:ilvl w:val="0"/>
                <w:numId w:val="6"/>
              </w:numPr>
              <w:spacing w:after="0"/>
              <w:ind w:left="720" w:hanging="360"/>
              <w:rPr>
                <w:rFonts w:ascii="Times New Roman" w:hAnsi="Times New Roman"/>
                <w:sz w:val="21"/>
                <w:szCs w:val="21"/>
                <w:highlight w:val="none"/>
              </w:rPr>
            </w:pPr>
            <w:r>
              <w:rPr>
                <w:rFonts w:ascii="Times New Roman" w:hAnsi="Times New Roman"/>
                <w:highlight w:val="none"/>
              </w:rPr>
              <w:t>Specify the alignment of QoE</w:t>
            </w:r>
            <w:r>
              <w:rPr>
                <w:rFonts w:ascii="Times New Roman" w:hAnsi="Times New Roman"/>
                <w:highlight w:val="none"/>
                <w:lang w:val="en-US"/>
              </w:rPr>
              <w:t xml:space="preserve"> measurements (including legacy QoE and RAN visible QoE measurements)</w:t>
            </w:r>
            <w:r>
              <w:rPr>
                <w:rFonts w:ascii="Times New Roman" w:hAnsi="Times New Roman"/>
                <w:highlight w:val="none"/>
              </w:rPr>
              <w:t xml:space="preserve"> and radio related measurement in NR-DC</w:t>
            </w:r>
            <w:r>
              <w:rPr>
                <w:rFonts w:ascii="Times New Roman" w:hAnsi="Times New Roman"/>
                <w:bCs/>
                <w:highlight w:val="none"/>
              </w:rPr>
              <w:t>.</w:t>
            </w:r>
          </w:p>
        </w:tc>
      </w:tr>
    </w:tbl>
    <w:p>
      <w:pPr>
        <w:rPr>
          <w:rStyle w:val="43"/>
          <w:rFonts w:ascii="Times New Roman" w:hAnsi="Times New Roman" w:eastAsia="等线"/>
          <w:sz w:val="21"/>
          <w:szCs w:val="21"/>
          <w:highlight w:val="none"/>
          <w:lang w:val="en-GB"/>
        </w:rPr>
      </w:pPr>
    </w:p>
    <w:p>
      <w:pPr>
        <w:rPr>
          <w:rStyle w:val="43"/>
          <w:rFonts w:ascii="Times New Roman" w:hAnsi="Times New Roman" w:eastAsia="等线"/>
          <w:sz w:val="21"/>
          <w:szCs w:val="21"/>
          <w:highlight w:val="none"/>
        </w:rPr>
      </w:pPr>
      <w:r>
        <w:rPr>
          <w:rStyle w:val="43"/>
          <w:rFonts w:ascii="Times New Roman" w:hAnsi="Times New Roman"/>
          <w:sz w:val="21"/>
          <w:szCs w:val="21"/>
          <w:highlight w:val="none"/>
          <w:lang w:val="en-GB"/>
        </w:rPr>
        <w:t xml:space="preserve">This paper further discusses how to configure </w:t>
      </w:r>
      <w:r>
        <w:rPr>
          <w:rStyle w:val="43"/>
          <w:rFonts w:ascii="Times New Roman" w:hAnsi="Times New Roman" w:eastAsia="等线"/>
          <w:sz w:val="21"/>
          <w:szCs w:val="21"/>
          <w:highlight w:val="none"/>
        </w:rPr>
        <w:t>the QoE measurement and RAN-Visible Qo</w:t>
      </w:r>
      <w:r>
        <w:rPr>
          <w:rStyle w:val="43"/>
          <w:rFonts w:hint="eastAsia" w:ascii="Times New Roman" w:hAnsi="Times New Roman" w:eastAsia="等线"/>
          <w:sz w:val="21"/>
          <w:szCs w:val="21"/>
          <w:highlight w:val="none"/>
        </w:rPr>
        <w:t>E</w:t>
      </w:r>
      <w:r>
        <w:rPr>
          <w:rStyle w:val="43"/>
          <w:rFonts w:ascii="Times New Roman" w:hAnsi="Times New Roman" w:eastAsia="等线"/>
          <w:sz w:val="21"/>
          <w:szCs w:val="21"/>
          <w:highlight w:val="none"/>
        </w:rPr>
        <w:t xml:space="preserve"> measurement in </w:t>
      </w:r>
      <w:r>
        <w:rPr>
          <w:rStyle w:val="43"/>
          <w:rFonts w:hint="eastAsia" w:ascii="Times New Roman" w:hAnsi="Times New Roman" w:eastAsia="等线"/>
          <w:sz w:val="21"/>
          <w:szCs w:val="21"/>
          <w:highlight w:val="none"/>
        </w:rPr>
        <w:t>NR-DC</w:t>
      </w:r>
      <w:r>
        <w:rPr>
          <w:rStyle w:val="43"/>
          <w:rFonts w:ascii="Times New Roman" w:hAnsi="Times New Roman" w:eastAsia="等线"/>
          <w:sz w:val="21"/>
          <w:szCs w:val="21"/>
          <w:highlight w:val="none"/>
        </w:rPr>
        <w:t xml:space="preserve"> based on the agreements </w:t>
      </w:r>
      <w:r>
        <w:rPr>
          <w:rStyle w:val="43"/>
          <w:rFonts w:hint="eastAsia" w:ascii="Times New Roman" w:hAnsi="Times New Roman" w:eastAsia="等线"/>
          <w:sz w:val="21"/>
          <w:szCs w:val="21"/>
          <w:highlight w:val="none"/>
        </w:rPr>
        <w:t>and FFS of the previous meetings</w:t>
      </w:r>
      <w:r>
        <w:rPr>
          <w:rFonts w:ascii="Times New Roman" w:hAnsi="Times New Roman" w:eastAsia="宋体"/>
          <w:sz w:val="21"/>
          <w:szCs w:val="21"/>
          <w:highlight w:val="none"/>
          <w:lang w:val="en-US"/>
        </w:rPr>
        <w:t>.</w:t>
      </w:r>
      <w:r>
        <w:rPr>
          <w:rFonts w:hint="eastAsia" w:ascii="Times New Roman" w:hAnsi="Times New Roman" w:eastAsia="宋体"/>
          <w:sz w:val="21"/>
          <w:szCs w:val="21"/>
          <w:highlight w:val="none"/>
          <w:lang w:val="en-US"/>
        </w:rPr>
        <w:t xml:space="preserve"> </w:t>
      </w:r>
    </w:p>
    <w:p>
      <w:pPr>
        <w:pStyle w:val="2"/>
        <w:rPr>
          <w:rFonts w:eastAsia="宋体"/>
          <w:highlight w:val="none"/>
        </w:rPr>
      </w:pPr>
      <w:r>
        <w:rPr>
          <w:rFonts w:eastAsia="宋体"/>
          <w:highlight w:val="none"/>
        </w:rPr>
        <w:t>Discussion</w:t>
      </w:r>
    </w:p>
    <w:p>
      <w:pPr>
        <w:pStyle w:val="3"/>
        <w:ind w:left="1134" w:hanging="1134"/>
        <w:rPr>
          <w:rFonts w:eastAsia="宋体" w:cs="Times New Roman"/>
          <w:sz w:val="24"/>
          <w:szCs w:val="20"/>
          <w:highlight w:val="none"/>
          <w:lang w:val="en-US"/>
        </w:rPr>
      </w:pPr>
      <w:r>
        <w:rPr>
          <w:rFonts w:hint="eastAsia" w:eastAsia="宋体" w:cs="Times New Roman"/>
          <w:sz w:val="24"/>
          <w:szCs w:val="20"/>
          <w:highlight w:val="none"/>
          <w:lang w:val="en-US"/>
        </w:rPr>
        <w:t xml:space="preserve"> QoE configuration in NR-DC </w:t>
      </w:r>
    </w:p>
    <w:p>
      <w:pPr>
        <w:rPr>
          <w:rFonts w:ascii="Times New Roman" w:hAnsi="Times New Roman" w:eastAsia="等线"/>
          <w:bCs/>
          <w:sz w:val="22"/>
          <w:szCs w:val="22"/>
          <w:highlight w:val="none"/>
          <w:lang w:val="en-US"/>
        </w:rPr>
      </w:pPr>
      <w:r>
        <w:rPr>
          <w:rFonts w:hint="eastAsia" w:ascii="Times New Roman" w:hAnsi="Times New Roman" w:eastAsia="等线"/>
          <w:bCs/>
          <w:sz w:val="22"/>
          <w:szCs w:val="22"/>
          <w:highlight w:val="none"/>
          <w:lang w:val="en-US"/>
        </w:rPr>
        <w:t xml:space="preserve">In Rel-17, the RVQoE configuration is configured according </w:t>
      </w:r>
      <w:r>
        <w:rPr>
          <w:rFonts w:hint="eastAsia" w:ascii="Times New Roman" w:hAnsi="Times New Roman" w:eastAsia="等线"/>
          <w:bCs/>
          <w:sz w:val="22"/>
          <w:szCs w:val="22"/>
          <w:highlight w:val="none"/>
          <w:lang w:val="en-US" w:eastAsia="zh-CN"/>
        </w:rPr>
        <w:t xml:space="preserve">to </w:t>
      </w:r>
      <w:r>
        <w:rPr>
          <w:rFonts w:hint="eastAsia" w:ascii="Times New Roman" w:hAnsi="Times New Roman" w:eastAsia="等线"/>
          <w:bCs/>
          <w:sz w:val="22"/>
          <w:szCs w:val="22"/>
          <w:highlight w:val="none"/>
          <w:lang w:val="en-US"/>
        </w:rPr>
        <w:t>the available RVQoE metrics send</w:t>
      </w:r>
      <w:r>
        <w:rPr>
          <w:rFonts w:ascii="Times New Roman" w:hAnsi="Times New Roman" w:eastAsia="等线"/>
          <w:bCs/>
          <w:sz w:val="22"/>
          <w:szCs w:val="22"/>
          <w:highlight w:val="none"/>
          <w:lang w:val="en-US"/>
        </w:rPr>
        <w:t>ing</w:t>
      </w:r>
      <w:r>
        <w:rPr>
          <w:rFonts w:hint="eastAsia" w:ascii="Times New Roman" w:hAnsi="Times New Roman" w:eastAsia="等线"/>
          <w:bCs/>
          <w:sz w:val="22"/>
          <w:szCs w:val="22"/>
          <w:highlight w:val="none"/>
          <w:lang w:val="en-US"/>
        </w:rPr>
        <w:t xml:space="preserve"> from OAM/AMF</w:t>
      </w:r>
      <w:r>
        <w:rPr>
          <w:rFonts w:hint="eastAsia" w:ascii="Times New Roman" w:hAnsi="Times New Roman" w:eastAsia="等线"/>
          <w:bCs/>
          <w:sz w:val="22"/>
          <w:szCs w:val="22"/>
          <w:highlight w:val="none"/>
          <w:lang w:val="en-US" w:eastAsia="zh-CN"/>
        </w:rPr>
        <w:t>. F</w:t>
      </w:r>
      <w:r>
        <w:rPr>
          <w:rFonts w:hint="eastAsia" w:ascii="Times New Roman" w:hAnsi="Times New Roman" w:eastAsia="等线"/>
          <w:bCs/>
          <w:sz w:val="22"/>
          <w:szCs w:val="22"/>
          <w:highlight w:val="none"/>
          <w:lang w:val="en-US"/>
        </w:rPr>
        <w:t xml:space="preserve">or NR-DC scenario, both the MN and </w:t>
      </w:r>
      <w:r>
        <w:rPr>
          <w:rFonts w:hint="eastAsia" w:ascii="Times New Roman" w:hAnsi="Times New Roman" w:eastAsia="等线"/>
          <w:bCs/>
          <w:sz w:val="22"/>
          <w:szCs w:val="22"/>
          <w:highlight w:val="none"/>
          <w:lang w:val="en-US" w:eastAsia="zh-CN"/>
        </w:rPr>
        <w:t xml:space="preserve">the </w:t>
      </w:r>
      <w:r>
        <w:rPr>
          <w:rFonts w:hint="eastAsia" w:ascii="Times New Roman" w:hAnsi="Times New Roman" w:eastAsia="等线"/>
          <w:bCs/>
          <w:sz w:val="22"/>
          <w:szCs w:val="22"/>
          <w:highlight w:val="none"/>
          <w:lang w:val="en-US"/>
        </w:rPr>
        <w:t xml:space="preserve">SN </w:t>
      </w:r>
      <w:r>
        <w:rPr>
          <w:rFonts w:hint="eastAsia" w:ascii="Times New Roman" w:hAnsi="Times New Roman" w:eastAsia="等线"/>
          <w:bCs/>
          <w:sz w:val="22"/>
          <w:szCs w:val="22"/>
          <w:highlight w:val="none"/>
          <w:lang w:val="en-US" w:eastAsia="zh-CN"/>
        </w:rPr>
        <w:t xml:space="preserve">may </w:t>
      </w:r>
      <w:r>
        <w:rPr>
          <w:rFonts w:hint="eastAsia" w:ascii="Times New Roman" w:hAnsi="Times New Roman" w:eastAsia="等线"/>
          <w:bCs/>
          <w:sz w:val="22"/>
          <w:szCs w:val="22"/>
          <w:highlight w:val="none"/>
          <w:lang w:val="en-US"/>
        </w:rPr>
        <w:t>need to generate the RVQoE configurations, so the available RVQoE metrics should be send to the other node during the RVQoE configuration coordination.</w:t>
      </w:r>
    </w:p>
    <w:p>
      <w:pPr>
        <w:rPr>
          <w:rFonts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1</w:t>
      </w:r>
      <w:r>
        <w:rPr>
          <w:rFonts w:hint="eastAsia" w:ascii="Times New Roman" w:hAnsi="Times New Roman" w:eastAsia="等线"/>
          <w:b/>
          <w:sz w:val="22"/>
          <w:szCs w:val="22"/>
          <w:highlight w:val="none"/>
          <w:lang w:val="en-US"/>
        </w:rPr>
        <w:t>: The node that received the QoE configuration from the AMF/OAM can send the list of available RVQoE metrics during RVQoE configuration coordination</w:t>
      </w:r>
      <w:r>
        <w:rPr>
          <w:rFonts w:hint="eastAsia" w:ascii="Times New Roman" w:hAnsi="Times New Roman" w:eastAsia="等线"/>
          <w:b/>
          <w:sz w:val="22"/>
          <w:szCs w:val="22"/>
          <w:highlight w:val="none"/>
          <w:lang w:val="en-US" w:eastAsia="zh-CN"/>
        </w:rPr>
        <w:t xml:space="preserve"> </w:t>
      </w:r>
      <w:r>
        <w:rPr>
          <w:rFonts w:hint="eastAsia" w:ascii="Times New Roman" w:hAnsi="Times New Roman" w:eastAsia="等线"/>
          <w:b/>
          <w:sz w:val="22"/>
          <w:szCs w:val="22"/>
          <w:highlight w:val="none"/>
          <w:lang w:val="en-US"/>
        </w:rPr>
        <w:t>to the other node.</w:t>
      </w:r>
    </w:p>
    <w:p>
      <w:pPr>
        <w:rPr>
          <w:rFonts w:hint="default" w:ascii="Times New Roman" w:hAnsi="Times New Roman" w:eastAsia="等线"/>
          <w:b/>
          <w:bCs/>
          <w:sz w:val="22"/>
          <w:szCs w:val="22"/>
          <w:highlight w:val="none"/>
          <w:lang w:val="en-US" w:eastAsia="zh-CN"/>
        </w:rPr>
      </w:pPr>
    </w:p>
    <w:p>
      <w:pPr>
        <w:rPr>
          <w:rFonts w:hint="eastAsia" w:ascii="Times New Roman" w:hAnsi="Times New Roman" w:eastAsia="等线"/>
          <w:b w:val="0"/>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In RAN3#120 meeting, it has the following agreement:</w:t>
      </w:r>
    </w:p>
    <w:p>
      <w:pPr>
        <w:spacing w:after="100" w:afterAutospacing="1"/>
        <w:rPr>
          <w:rFonts w:ascii="Calibri" w:hAnsi="Calibri" w:eastAsia="MS Mincho" w:cs="Calibri"/>
          <w:i/>
          <w:iCs/>
          <w:color w:val="00B050"/>
          <w:kern w:val="2"/>
          <w:sz w:val="16"/>
          <w:szCs w:val="16"/>
          <w:highlight w:val="none"/>
        </w:rPr>
      </w:pPr>
      <w:r>
        <w:rPr>
          <w:rFonts w:eastAsia="MS Mincho"/>
          <w:i/>
          <w:iCs/>
          <w:color w:val="00B050"/>
          <w:kern w:val="2"/>
          <w:sz w:val="16"/>
          <w:szCs w:val="16"/>
          <w:highlight w:val="none"/>
        </w:rPr>
        <w:t>In the response, the non-RVQoE-configuring node:</w:t>
      </w:r>
    </w:p>
    <w:p>
      <w:pPr>
        <w:numPr>
          <w:ilvl w:val="0"/>
          <w:numId w:val="7"/>
        </w:numPr>
        <w:overflowPunct/>
        <w:autoSpaceDE/>
        <w:adjustRightInd/>
        <w:spacing w:after="100" w:afterAutospacing="1" w:line="256" w:lineRule="auto"/>
        <w:textAlignment w:val="auto"/>
        <w:rPr>
          <w:rFonts w:hint="default" w:ascii="Times New Roman" w:hAnsi="Times New Roman" w:eastAsia="等线"/>
          <w:b w:val="0"/>
          <w:bCs w:val="0"/>
          <w:sz w:val="22"/>
          <w:szCs w:val="22"/>
          <w:highlight w:val="none"/>
          <w:lang w:val="en-US" w:eastAsia="zh-CN"/>
        </w:rPr>
      </w:pPr>
      <w:r>
        <w:rPr>
          <w:rFonts w:eastAsia="MS Mincho"/>
          <w:i/>
          <w:iCs/>
          <w:color w:val="00B050"/>
          <w:kern w:val="2"/>
          <w:sz w:val="16"/>
          <w:szCs w:val="16"/>
          <w:highlight w:val="none"/>
        </w:rPr>
        <w:t>Can indicate to the RVQoE-configuring node its preferred RVQoE configuration parameters, based on which the RVQoE-configuring node should modify the RVQoE configuration</w:t>
      </w:r>
    </w:p>
    <w:p>
      <w:pPr>
        <w:rPr>
          <w:rFonts w:hint="eastAsia" w:ascii="Times New Roman" w:hAnsi="Times New Roman" w:eastAsia="等线"/>
          <w:b w:val="0"/>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It is not clear for this agreement, and it needs to be further clarified. From this agreement, there can have two ways of understanding:</w:t>
      </w:r>
    </w:p>
    <w:p>
      <w:pPr>
        <w:numPr>
          <w:ilvl w:val="0"/>
          <w:numId w:val="8"/>
        </w:numPr>
        <w:rPr>
          <w:rFonts w:hint="default" w:ascii="Times New Roman" w:hAnsi="Times New Roman" w:eastAsia="等线"/>
          <w:b w:val="0"/>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The non-RVQoE-configuring node will modify the RVQoE configuration send from the RVQoE-configuring node, then modify the RVQoE configuration send to UE;</w:t>
      </w:r>
    </w:p>
    <w:p>
      <w:pPr>
        <w:numPr>
          <w:ilvl w:val="0"/>
          <w:numId w:val="8"/>
        </w:numPr>
        <w:rPr>
          <w:rFonts w:hint="default" w:ascii="Times New Roman" w:hAnsi="Times New Roman" w:eastAsia="等线"/>
          <w:b w:val="0"/>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The non-RVQoE-configuring node will only modify the RVQoE configuration send to UE.</w:t>
      </w:r>
    </w:p>
    <w:p>
      <w:pPr>
        <w:rPr>
          <w:rFonts w:hint="eastAsia" w:ascii="Times New Roman" w:hAnsi="Times New Roman" w:eastAsia="等线"/>
          <w:b w:val="0"/>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To clarify the above agreement, the scenario should be discussed first, whether the MN and the SN will configure the RVQoE configuration at the same time. If the MN and the SN can configure the RVQoE configuration at the same time, how to coordinate the RVQoE configuration and modify the RVQoE configuration send from the non-RVQoE-configuring node should be discussed first. If the MN and SN will not configure the RVQoE configuration at the same time, the non-RVQoE-configuring node will only need to modify the RVQoE configuration send to UE.</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2</w:t>
      </w:r>
      <w:r>
        <w:rPr>
          <w:rFonts w:hint="eastAsia"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 xml:space="preserve"> The agreement of last meeting should be modified to the following:</w:t>
      </w:r>
    </w:p>
    <w:p>
      <w:pPr>
        <w:rPr>
          <w:rFonts w:hint="eastAsia" w:ascii="Times New Roman" w:hAnsi="Times New Roman" w:eastAsia="等线"/>
          <w:b/>
          <w:sz w:val="22"/>
          <w:szCs w:val="22"/>
          <w:highlight w:val="none"/>
          <w:lang w:val="en-US" w:eastAsia="zh-CN"/>
        </w:rPr>
      </w:pPr>
      <w:r>
        <w:rPr>
          <w:rFonts w:hint="default" w:ascii="Times New Roman" w:hAnsi="Times New Roman" w:eastAsia="等线"/>
          <w:b/>
          <w:sz w:val="22"/>
          <w:szCs w:val="22"/>
          <w:highlight w:val="none"/>
          <w:lang w:val="en-US" w:eastAsia="zh-CN"/>
        </w:rPr>
        <w:t>In the response, the non-RVQoE-configuring node</w:t>
      </w:r>
      <w:r>
        <w:rPr>
          <w:rFonts w:hint="eastAsia" w:ascii="Times New Roman" w:hAnsi="Times New Roman" w:eastAsia="等线"/>
          <w:b/>
          <w:sz w:val="22"/>
          <w:szCs w:val="22"/>
          <w:highlight w:val="none"/>
          <w:lang w:val="en-US" w:eastAsia="zh-CN"/>
        </w:rPr>
        <w:t xml:space="preserve"> ca</w:t>
      </w:r>
      <w:r>
        <w:rPr>
          <w:rFonts w:hint="default" w:ascii="Times New Roman" w:hAnsi="Times New Roman" w:eastAsia="等线"/>
          <w:b/>
          <w:sz w:val="22"/>
          <w:szCs w:val="22"/>
          <w:highlight w:val="none"/>
          <w:lang w:val="en-US" w:eastAsia="zh-CN"/>
        </w:rPr>
        <w:t>n indicate to the RVQoE-configuring node its preferred RVQoE configuration parameters, based on which the RVQoE-configuring node should modify the RVQoE configuration</w:t>
      </w:r>
      <w:r>
        <w:rPr>
          <w:rFonts w:hint="eastAsia" w:ascii="Times New Roman" w:hAnsi="Times New Roman" w:eastAsia="等线"/>
          <w:b/>
          <w:sz w:val="22"/>
          <w:szCs w:val="22"/>
          <w:highlight w:val="none"/>
          <w:lang w:val="en-US" w:eastAsia="zh-CN"/>
        </w:rPr>
        <w:t xml:space="preserve"> send to UE.</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eastAsia="zh-CN"/>
        </w:rPr>
        <w:t>Proposal 3: RAN3 should discuss whether only one node need to configure the RVQoE configuration, if the MN and SN will configure the RVQoE configuration at the same time, how to coordinate the RVQoE configuration and modify the RVQoE configuration send from the non-RVQoE-configuring node should be discussed.</w:t>
      </w:r>
    </w:p>
    <w:p>
      <w:pPr>
        <w:rPr>
          <w:rFonts w:hint="default" w:ascii="Times New Roman" w:hAnsi="Times New Roman" w:eastAsia="等线"/>
          <w:b/>
          <w:sz w:val="22"/>
          <w:szCs w:val="22"/>
          <w:highlight w:val="none"/>
          <w:lang w:val="en-US" w:eastAsia="zh-CN"/>
        </w:rPr>
      </w:pPr>
    </w:p>
    <w:p>
      <w:pPr>
        <w:pStyle w:val="3"/>
        <w:ind w:left="1134" w:hanging="1134"/>
        <w:rPr>
          <w:rFonts w:eastAsia="宋体" w:cs="Times New Roman"/>
          <w:sz w:val="24"/>
          <w:szCs w:val="20"/>
          <w:highlight w:val="none"/>
          <w:lang w:val="en-US"/>
        </w:rPr>
      </w:pPr>
      <w:r>
        <w:rPr>
          <w:rFonts w:hint="eastAsia" w:eastAsia="宋体" w:cs="Times New Roman"/>
          <w:sz w:val="24"/>
          <w:szCs w:val="20"/>
          <w:highlight w:val="none"/>
          <w:lang w:val="en-US" w:eastAsia="zh-CN"/>
        </w:rPr>
        <w:t xml:space="preserve"> </w:t>
      </w:r>
      <w:r>
        <w:rPr>
          <w:rFonts w:hint="eastAsia" w:eastAsia="宋体" w:cs="Times New Roman"/>
          <w:sz w:val="24"/>
          <w:szCs w:val="20"/>
          <w:highlight w:val="none"/>
          <w:lang w:val="en-US"/>
        </w:rPr>
        <w:t xml:space="preserve">QoE reporting in NR-DC </w:t>
      </w: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I</w:t>
      </w:r>
      <w:r>
        <w:rPr>
          <w:rFonts w:ascii="Times New Roman" w:hAnsi="Times New Roman" w:eastAsia="等线"/>
          <w:bCs/>
          <w:sz w:val="22"/>
          <w:szCs w:val="22"/>
          <w:highlight w:val="none"/>
        </w:rPr>
        <w:t xml:space="preserve">n RAN overload scenario, the configured node does not have enough resources to </w:t>
      </w:r>
      <w:r>
        <w:rPr>
          <w:rFonts w:hint="eastAsia" w:ascii="Times New Roman" w:hAnsi="Times New Roman" w:eastAsia="等线"/>
          <w:bCs/>
          <w:sz w:val="22"/>
          <w:szCs w:val="22"/>
          <w:highlight w:val="none"/>
          <w:lang w:val="en-US" w:eastAsia="zh-CN"/>
        </w:rPr>
        <w:t xml:space="preserve">report the </w:t>
      </w:r>
      <w:r>
        <w:rPr>
          <w:rFonts w:ascii="Times New Roman" w:hAnsi="Times New Roman" w:eastAsia="等线"/>
          <w:bCs/>
          <w:sz w:val="22"/>
          <w:szCs w:val="22"/>
          <w:highlight w:val="none"/>
        </w:rPr>
        <w:t>QoE report</w:t>
      </w:r>
      <w:r>
        <w:rPr>
          <w:rFonts w:hint="eastAsia" w:ascii="Times New Roman" w:hAnsi="Times New Roman" w:eastAsia="等线"/>
          <w:bCs/>
          <w:sz w:val="22"/>
          <w:szCs w:val="22"/>
          <w:highlight w:val="none"/>
          <w:lang w:val="en-US" w:eastAsia="zh-CN"/>
        </w:rPr>
        <w:t>s</w:t>
      </w:r>
      <w:r>
        <w:rPr>
          <w:rFonts w:ascii="Times New Roman" w:hAnsi="Times New Roman" w:eastAsia="等线"/>
          <w:bCs/>
          <w:sz w:val="22"/>
          <w:szCs w:val="22"/>
          <w:highlight w:val="none"/>
        </w:rPr>
        <w:t>, and another leg may help the situation</w:t>
      </w:r>
      <w:r>
        <w:rPr>
          <w:rFonts w:hint="eastAsia" w:ascii="Times New Roman" w:hAnsi="Times New Roman" w:eastAsia="等线"/>
          <w:bCs/>
          <w:sz w:val="22"/>
          <w:szCs w:val="22"/>
          <w:highlight w:val="none"/>
          <w:lang w:val="en-US" w:eastAsia="zh-CN"/>
        </w:rPr>
        <w:t xml:space="preserve"> through the leg switch from one leg to another leg. Considering the flexibility for the leg switch of the QoE reporting, and considering the minimum impacts for current specification, it is preferred to indicate the UE for leg switch per QoE reference.</w:t>
      </w:r>
    </w:p>
    <w:p>
      <w:pPr>
        <w:rPr>
          <w:rFonts w:hint="eastAsia"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4</w:t>
      </w:r>
      <w:r>
        <w:rPr>
          <w:rFonts w:hint="eastAsia" w:ascii="Times New Roman" w:hAnsi="Times New Roman" w:eastAsia="等线"/>
          <w:b/>
          <w:sz w:val="22"/>
          <w:szCs w:val="22"/>
          <w:highlight w:val="none"/>
          <w:lang w:val="en-US"/>
        </w:rPr>
        <w:t xml:space="preserve">: The </w:t>
      </w:r>
      <w:r>
        <w:rPr>
          <w:rFonts w:hint="eastAsia" w:ascii="Times New Roman" w:hAnsi="Times New Roman" w:eastAsia="等线"/>
          <w:b/>
          <w:sz w:val="22"/>
          <w:szCs w:val="22"/>
          <w:highlight w:val="none"/>
          <w:lang w:val="en-US" w:eastAsia="zh-CN"/>
        </w:rPr>
        <w:t>leg switch can be indicated to UE per QoE reference.</w:t>
      </w:r>
      <w:r>
        <w:rPr>
          <w:rFonts w:hint="eastAsia" w:ascii="Times New Roman" w:hAnsi="Times New Roman" w:eastAsia="等线"/>
          <w:b/>
          <w:sz w:val="22"/>
          <w:szCs w:val="22"/>
          <w:highlight w:val="none"/>
          <w:lang w:val="en-US"/>
        </w:rPr>
        <w:t xml:space="preserve"> </w:t>
      </w:r>
    </w:p>
    <w:p>
      <w:pPr>
        <w:rPr>
          <w:rFonts w:hint="default" w:ascii="Times New Roman" w:hAnsi="Times New Roman" w:eastAsia="等线"/>
          <w:b/>
          <w:sz w:val="22"/>
          <w:szCs w:val="22"/>
          <w:highlight w:val="none"/>
          <w:lang w:val="en-US" w:eastAsia="zh-CN"/>
        </w:rPr>
      </w:pPr>
    </w:p>
    <w:p>
      <w:pPr>
        <w:rPr>
          <w:rFonts w:hint="eastAsia"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The coordination procedure between MN and SN should be supported when MN/SN overload, the node which is overload should initiate the coordination procedure, and the peer node can admit the QoE measurements report according to it</w:t>
      </w:r>
      <w:r>
        <w:rPr>
          <w:rFonts w:hint="default" w:ascii="Times New Roman" w:hAnsi="Times New Roman" w:eastAsia="等线"/>
          <w:bCs/>
          <w:sz w:val="22"/>
          <w:szCs w:val="22"/>
          <w:highlight w:val="none"/>
          <w:lang w:val="en-US" w:eastAsia="zh-CN"/>
        </w:rPr>
        <w:t>’</w:t>
      </w:r>
      <w:r>
        <w:rPr>
          <w:rFonts w:hint="eastAsia" w:ascii="Times New Roman" w:hAnsi="Times New Roman" w:eastAsia="等线"/>
          <w:bCs/>
          <w:sz w:val="22"/>
          <w:szCs w:val="22"/>
          <w:highlight w:val="none"/>
          <w:lang w:val="en-US" w:eastAsia="zh-CN"/>
        </w:rPr>
        <w:t>s own uplink resource status. In last RAN3 meeting, RAN3 have the following agreements:</w:t>
      </w:r>
    </w:p>
    <w:p>
      <w:pPr>
        <w:spacing w:before="120" w:beforeAutospacing="0" w:after="0"/>
        <w:rPr>
          <w:rStyle w:val="80"/>
          <w:rFonts w:ascii="Calibri" w:hAnsi="Calibri" w:cs="Calibri"/>
          <w:b/>
          <w:color w:val="008000"/>
          <w:sz w:val="18"/>
          <w:szCs w:val="20"/>
          <w:highlight w:val="none"/>
          <w:u w:val="none"/>
        </w:rPr>
      </w:pPr>
      <w:r>
        <w:rPr>
          <w:rStyle w:val="80"/>
          <w:rFonts w:ascii="Calibri" w:hAnsi="Calibri" w:cs="Calibri"/>
          <w:b/>
          <w:color w:val="008000"/>
          <w:sz w:val="18"/>
          <w:szCs w:val="20"/>
          <w:highlight w:val="none"/>
          <w:u w:val="none"/>
        </w:rPr>
        <w:t>The node that currently receives the QoE reports via the Uu can send a request to the peer node, asking that the QoE reporting leg is switched to the peer node.</w:t>
      </w:r>
    </w:p>
    <w:p>
      <w:pPr>
        <w:spacing w:before="120" w:beforeAutospacing="0" w:after="0"/>
        <w:rPr>
          <w:rFonts w:ascii="Calibri" w:hAnsi="Calibri" w:cs="Calibri"/>
          <w:b/>
          <w:color w:val="008000"/>
          <w:sz w:val="18"/>
          <w:szCs w:val="20"/>
          <w:highlight w:val="none"/>
        </w:rPr>
      </w:pPr>
      <w:r>
        <w:rPr>
          <w:rStyle w:val="80"/>
          <w:rFonts w:ascii="Calibri" w:hAnsi="Calibri" w:cs="Calibri"/>
          <w:b/>
          <w:color w:val="008000"/>
          <w:sz w:val="18"/>
          <w:szCs w:val="20"/>
          <w:highlight w:val="none"/>
          <w:u w:val="none"/>
        </w:rPr>
        <w:t>The leg switch for QoE reporting needs to be approved by both nodes serving the UE.</w:t>
      </w:r>
    </w:p>
    <w:p>
      <w:pPr>
        <w:rPr>
          <w:rFonts w:hint="default" w:ascii="Times New Roman" w:hAnsi="Times New Roman" w:eastAsia="等线"/>
          <w:bCs/>
          <w:sz w:val="22"/>
          <w:szCs w:val="22"/>
          <w:highlight w:val="none"/>
          <w:lang w:val="en-US" w:eastAsia="zh-CN"/>
        </w:rPr>
      </w:pPr>
    </w:p>
    <w:p>
      <w:pPr>
        <w:rPr>
          <w:rFonts w:hint="default" w:ascii="Times New Roman" w:hAnsi="Times New Roman" w:eastAsia="等线"/>
          <w:bCs/>
          <w:sz w:val="22"/>
          <w:szCs w:val="22"/>
          <w:highlight w:val="none"/>
          <w:lang w:val="en-US" w:eastAsia="zh-CN"/>
        </w:rPr>
      </w:pPr>
      <w:r>
        <w:rPr>
          <w:rFonts w:hint="eastAsia" w:ascii="Times New Roman" w:hAnsi="Times New Roman" w:eastAsia="等线"/>
          <w:bCs/>
          <w:sz w:val="22"/>
          <w:szCs w:val="22"/>
          <w:highlight w:val="none"/>
          <w:lang w:val="en-US" w:eastAsia="zh-CN"/>
        </w:rPr>
        <w:t xml:space="preserve">The node that currently received the QoE reports via Uu send the coordination request message to the peer node, the QoE reference list for QoE reports which the source node want to coordinate to peer node should be included in the coordination request message. Then the peer node can accept all the QoE reports or parts of the QoE reports, and sends the coordination response message to the source node. </w:t>
      </w:r>
    </w:p>
    <w:p>
      <w:pPr>
        <w:rPr>
          <w:rFonts w:ascii="Times New Roman" w:hAnsi="Times New Roman" w:eastAsia="等线"/>
          <w:b/>
          <w:bCs/>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5</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ascii="Times New Roman" w:hAnsi="Times New Roman" w:eastAsia="等线"/>
          <w:b/>
          <w:bCs/>
          <w:sz w:val="22"/>
          <w:szCs w:val="22"/>
          <w:highlight w:val="none"/>
          <w:lang w:val="en-US"/>
        </w:rPr>
        <w:t xml:space="preserve">For RAN overload scenario, </w:t>
      </w:r>
      <w:r>
        <w:rPr>
          <w:rFonts w:hint="eastAsia" w:ascii="Times New Roman" w:hAnsi="Times New Roman" w:eastAsia="等线"/>
          <w:b/>
          <w:bCs/>
          <w:sz w:val="22"/>
          <w:szCs w:val="22"/>
          <w:highlight w:val="none"/>
          <w:lang w:val="en-US" w:eastAsia="zh-CN"/>
        </w:rPr>
        <w:t>QoE report coordination request message should be send from the node that currently receives the QoE reports, include the QoE reference list it want to send via the peer node</w:t>
      </w:r>
      <w:r>
        <w:rPr>
          <w:rFonts w:ascii="Times New Roman" w:hAnsi="Times New Roman" w:eastAsia="等线"/>
          <w:b/>
          <w:bCs/>
          <w:sz w:val="22"/>
          <w:szCs w:val="22"/>
          <w:highlight w:val="none"/>
          <w:lang w:val="en-US"/>
        </w:rPr>
        <w:t>.</w:t>
      </w:r>
    </w:p>
    <w:p>
      <w:pPr>
        <w:rPr>
          <w:rFonts w:hint="default" w:ascii="Times New Roman" w:hAnsi="Times New Roman" w:eastAsia="等线"/>
          <w:b/>
          <w:bCs/>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6</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For RAN overload scenario, QoE report coordination response message should be send from peer node to indicate all the QoE reports or parts of the QoE reports can be coordinated to the peer node.</w:t>
      </w:r>
    </w:p>
    <w:p>
      <w:pPr>
        <w:rPr>
          <w:rFonts w:ascii="Times New Roman" w:hAnsi="Times New Roman" w:eastAsia="等线"/>
          <w:bCs/>
          <w:sz w:val="22"/>
          <w:szCs w:val="22"/>
          <w:highlight w:val="none"/>
        </w:rPr>
      </w:pPr>
      <w:r>
        <w:rPr>
          <w:rFonts w:ascii="Times New Roman" w:hAnsi="Times New Roman" w:eastAsia="等线"/>
          <w:bCs/>
          <w:sz w:val="22"/>
          <w:szCs w:val="22"/>
          <w:highlight w:val="none"/>
        </w:rPr>
        <w:t xml:space="preserve"> </w:t>
      </w:r>
    </w:p>
    <w:p>
      <w:pPr>
        <w:rPr>
          <w:rFonts w:hint="eastAsia" w:ascii="Times New Roman" w:hAnsi="Times New Roman" w:eastAsia="等线" w:cs="Times New Roman"/>
          <w:bCs/>
          <w:sz w:val="22"/>
          <w:szCs w:val="22"/>
          <w:highlight w:val="none"/>
          <w:lang w:val="en-US" w:eastAsia="zh-CN"/>
        </w:rPr>
      </w:pPr>
      <w:r>
        <w:rPr>
          <w:rFonts w:hint="eastAsia" w:ascii="Times New Roman" w:hAnsi="Times New Roman" w:eastAsia="等线" w:cs="Times New Roman"/>
          <w:bCs/>
          <w:sz w:val="22"/>
          <w:szCs w:val="22"/>
          <w:highlight w:val="none"/>
          <w:lang w:val="en-US" w:eastAsia="zh-CN"/>
        </w:rPr>
        <w:t>In the previous meetings, RAN3 have the following agreements:</w:t>
      </w:r>
    </w:p>
    <w:p>
      <w:pPr>
        <w:spacing w:before="120" w:beforeAutospacing="0" w:after="0"/>
        <w:rPr>
          <w:rStyle w:val="80"/>
          <w:rFonts w:ascii="Calibri" w:hAnsi="Calibri" w:eastAsia="宋体" w:cs="Calibri"/>
          <w:b/>
          <w:color w:val="008000"/>
          <w:sz w:val="18"/>
          <w:szCs w:val="20"/>
          <w:highlight w:val="none"/>
          <w:u w:val="none"/>
          <w:lang w:eastAsia="en-US"/>
        </w:rPr>
      </w:pPr>
      <w:r>
        <w:rPr>
          <w:rStyle w:val="80"/>
          <w:rFonts w:hint="eastAsia" w:ascii="Calibri" w:hAnsi="Calibri" w:eastAsia="宋体" w:cs="Calibri"/>
          <w:b/>
          <w:color w:val="008000"/>
          <w:sz w:val="18"/>
          <w:szCs w:val="20"/>
          <w:highlight w:val="none"/>
          <w:u w:val="none"/>
          <w:lang w:eastAsia="en-US"/>
        </w:rPr>
        <w:t>UE can send RVQoE report to MN, MN then forward the RVQoE report to SN if needed, and vice versa.</w:t>
      </w:r>
    </w:p>
    <w:p>
      <w:pPr>
        <w:spacing w:before="120" w:beforeAutospacing="0" w:after="0"/>
        <w:rPr>
          <w:rFonts w:ascii="Calibri" w:hAnsi="Calibri" w:cs="Calibri"/>
          <w:b/>
          <w:color w:val="008000"/>
          <w:sz w:val="18"/>
          <w:szCs w:val="20"/>
          <w:highlight w:val="none"/>
        </w:rPr>
      </w:pPr>
      <w:r>
        <w:rPr>
          <w:rStyle w:val="80"/>
          <w:rFonts w:ascii="Calibri" w:hAnsi="Calibri" w:cs="Calibri"/>
          <w:b/>
          <w:color w:val="008000"/>
          <w:sz w:val="18"/>
          <w:szCs w:val="20"/>
          <w:highlight w:val="none"/>
          <w:u w:val="none"/>
        </w:rPr>
        <w:t>If the SRB5 is not configured, the RVQoE reports can be sent on the SRB4 from the UE via the MN to the SN.</w:t>
      </w:r>
    </w:p>
    <w:p>
      <w:pPr>
        <w:rPr>
          <w:rFonts w:hint="default" w:ascii="Times New Roman" w:hAnsi="Times New Roman" w:eastAsia="等线" w:cs="Times New Roman"/>
          <w:bCs/>
          <w:sz w:val="22"/>
          <w:szCs w:val="22"/>
          <w:highlight w:val="none"/>
          <w:lang w:val="en-US" w:eastAsia="zh-CN"/>
        </w:rPr>
      </w:pPr>
      <w:r>
        <w:rPr>
          <w:rFonts w:hint="eastAsia" w:ascii="Times New Roman" w:hAnsi="Times New Roman" w:eastAsia="等线" w:cs="Times New Roman"/>
          <w:bCs/>
          <w:sz w:val="22"/>
          <w:szCs w:val="22"/>
          <w:highlight w:val="none"/>
          <w:lang w:val="en-US" w:eastAsia="zh-CN"/>
        </w:rPr>
        <w:t>According to the agreements, the RVQoE reports can be sent between MN and SN, and it is better to use the current RRC Transfer procedure to transmit the RVQoE reports.</w:t>
      </w:r>
    </w:p>
    <w:p>
      <w:pPr>
        <w:rPr>
          <w:rFonts w:hint="default" w:eastAsia="宋体"/>
          <w:highlight w:val="none"/>
          <w:lang w:val="en-US" w:eastAsia="zh-CN"/>
        </w:rPr>
      </w:pP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eastAsia="zh-CN"/>
        </w:rPr>
        <w:t>Proposal 7: RRC Transfer procedure can be considered to transfer the RVQoE report between MN and SN.</w:t>
      </w:r>
    </w:p>
    <w:p>
      <w:pPr>
        <w:rPr>
          <w:rFonts w:hint="default" w:ascii="Times New Roman" w:hAnsi="Times New Roman" w:eastAsia="等线"/>
          <w:b/>
          <w:sz w:val="22"/>
          <w:szCs w:val="22"/>
          <w:highlight w:val="none"/>
          <w:lang w:val="en-US" w:eastAsia="zh-CN"/>
        </w:rPr>
      </w:pPr>
    </w:p>
    <w:p>
      <w:pPr>
        <w:pStyle w:val="3"/>
        <w:ind w:left="1134" w:hanging="1134"/>
        <w:rPr>
          <w:rFonts w:eastAsia="宋体" w:cs="Times New Roman"/>
          <w:sz w:val="24"/>
          <w:szCs w:val="20"/>
          <w:highlight w:val="none"/>
          <w:lang w:val="en-US"/>
        </w:rPr>
      </w:pPr>
      <w:r>
        <w:rPr>
          <w:rFonts w:hint="eastAsia" w:eastAsia="宋体" w:cs="Times New Roman"/>
          <w:sz w:val="24"/>
          <w:szCs w:val="20"/>
          <w:highlight w:val="none"/>
          <w:lang w:val="en-US" w:eastAsia="zh-CN"/>
        </w:rPr>
        <w:t xml:space="preserve"> QoE measurement continuity in</w:t>
      </w:r>
      <w:r>
        <w:rPr>
          <w:rFonts w:hint="eastAsia" w:eastAsia="宋体" w:cs="Times New Roman"/>
          <w:sz w:val="24"/>
          <w:szCs w:val="20"/>
          <w:highlight w:val="none"/>
          <w:lang w:val="en-US"/>
        </w:rPr>
        <w:t xml:space="preserve"> NR-DC </w:t>
      </w:r>
    </w:p>
    <w:p>
      <w:pPr>
        <w:rPr>
          <w:rFonts w:hint="eastAsia" w:ascii="Times New Roman" w:hAnsi="Times New Roman" w:eastAsia="宋体"/>
          <w:highlight w:val="none"/>
          <w:lang w:val="en-US" w:eastAsia="zh-CN"/>
        </w:rPr>
      </w:pPr>
      <w:r>
        <w:rPr>
          <w:rFonts w:hint="eastAsia" w:ascii="Times New Roman" w:hAnsi="Times New Roman" w:eastAsia="等线"/>
          <w:b w:val="0"/>
          <w:bCs/>
          <w:sz w:val="22"/>
          <w:szCs w:val="22"/>
          <w:highlight w:val="none"/>
          <w:lang w:val="en-US" w:eastAsia="zh-CN"/>
        </w:rPr>
        <w:t xml:space="preserve">For </w:t>
      </w:r>
      <w:r>
        <w:rPr>
          <w:rFonts w:ascii="Times New Roman" w:hAnsi="Times New Roman"/>
          <w:highlight w:val="none"/>
        </w:rPr>
        <w:t>QoE measurement continuity in mobility scenarios in NR-DC</w:t>
      </w:r>
      <w:r>
        <w:rPr>
          <w:rFonts w:hint="eastAsia" w:ascii="Times New Roman" w:hAnsi="Times New Roman" w:eastAsia="宋体"/>
          <w:highlight w:val="none"/>
          <w:lang w:val="en-US" w:eastAsia="zh-CN"/>
        </w:rPr>
        <w:t>, RAN3 have the following agreements in last meeting:</w:t>
      </w:r>
    </w:p>
    <w:p>
      <w:pPr>
        <w:spacing w:after="100" w:afterAutospacing="1"/>
        <w:rPr>
          <w:rFonts w:ascii="Calibri" w:hAnsi="Calibri" w:eastAsia="MS Mincho" w:cs="Calibri"/>
          <w:i/>
          <w:iCs/>
          <w:color w:val="00B050"/>
          <w:kern w:val="2"/>
          <w:sz w:val="16"/>
          <w:szCs w:val="16"/>
          <w:highlight w:val="none"/>
        </w:rPr>
      </w:pPr>
      <w:r>
        <w:rPr>
          <w:rFonts w:eastAsia="MS Mincho"/>
          <w:i/>
          <w:iCs/>
          <w:color w:val="00B050"/>
          <w:kern w:val="2"/>
          <w:sz w:val="16"/>
          <w:szCs w:val="16"/>
          <w:highlight w:val="none"/>
        </w:rPr>
        <w:t>In line with the Rel-17 principles, if the MN configured the UE with QoE measurements, every subsequent MN serving the UE can configure and release the RVQoE measurements.</w:t>
      </w:r>
    </w:p>
    <w:p>
      <w:pPr>
        <w:spacing w:after="100" w:afterAutospacing="1"/>
        <w:rPr>
          <w:rFonts w:eastAsia="MS Mincho"/>
          <w:i/>
          <w:iCs/>
          <w:color w:val="00B050"/>
          <w:kern w:val="2"/>
          <w:sz w:val="16"/>
          <w:szCs w:val="16"/>
          <w:highlight w:val="none"/>
        </w:rPr>
      </w:pPr>
      <w:r>
        <w:rPr>
          <w:rFonts w:eastAsia="MS Mincho"/>
          <w:i/>
          <w:iCs/>
          <w:color w:val="00B050"/>
          <w:kern w:val="2"/>
          <w:sz w:val="16"/>
          <w:szCs w:val="16"/>
          <w:highlight w:val="none"/>
        </w:rPr>
        <w:t>At SN change without MN change, the QoE configuration information is passed from the old/source SN to the new/target SN via the MN.</w:t>
      </w:r>
    </w:p>
    <w:p>
      <w:pPr>
        <w:spacing w:after="100" w:afterAutospacing="1"/>
        <w:rPr>
          <w:rFonts w:eastAsia="MS Mincho"/>
          <w:i/>
          <w:iCs/>
          <w:color w:val="00B050"/>
          <w:kern w:val="2"/>
          <w:sz w:val="16"/>
          <w:szCs w:val="16"/>
          <w:highlight w:val="none"/>
        </w:rPr>
      </w:pPr>
      <w:r>
        <w:rPr>
          <w:rFonts w:eastAsia="MS Mincho"/>
          <w:i/>
          <w:iCs/>
          <w:color w:val="00B050"/>
          <w:kern w:val="2"/>
          <w:sz w:val="16"/>
          <w:szCs w:val="16"/>
          <w:highlight w:val="none"/>
        </w:rPr>
        <w:t>If the SN configured a UE with QoE measurements, at SN release, the QoE/RVQoE configuration can be released. Whether the SN-configured QoE/RVQoE configuration information can be passed to the MN in case of SN release needs to be further discussed.</w:t>
      </w:r>
    </w:p>
    <w:p>
      <w:pPr>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 xml:space="preserve">The mobility procedure for NR-DC can be classified to the following cases: </w:t>
      </w:r>
    </w:p>
    <w:p>
      <w:pPr>
        <w:numPr>
          <w:ilvl w:val="0"/>
          <w:numId w:val="9"/>
        </w:numPr>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 xml:space="preserve">Intra-RAT MN handover procedure: reuse the messages of normal handover procedure, so there is no RAN3 specification impacts in this case. </w:t>
      </w:r>
    </w:p>
    <w:p>
      <w:pPr>
        <w:numPr>
          <w:ilvl w:val="0"/>
          <w:numId w:val="9"/>
        </w:numPr>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SN change procedure: SN Addition procedure and SN Release procedure will be used.</w:t>
      </w:r>
    </w:p>
    <w:p>
      <w:pPr>
        <w:numPr>
          <w:ilvl w:val="0"/>
          <w:numId w:val="9"/>
        </w:numPr>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Inter-RAT MN handover procedure: reuse the inter-RAT handover procedure.</w:t>
      </w:r>
    </w:p>
    <w:p>
      <w:pPr>
        <w:pStyle w:val="67"/>
        <w:rPr>
          <w:highlight w:val="none"/>
        </w:rPr>
      </w:pPr>
      <w:r>
        <w:rPr>
          <w:b w:val="0"/>
          <w:highlight w:val="none"/>
        </w:rPr>
        <w:object>
          <v:shape id="_x0000_i1025" o:spt="75" type="#_x0000_t75" style="height:341.25pt;width:48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66"/>
        <w:spacing w:before="120"/>
        <w:rPr>
          <w:highlight w:val="none"/>
          <w:lang w:eastAsia="zh-CN"/>
        </w:rPr>
      </w:pPr>
      <w:r>
        <w:rPr>
          <w:highlight w:val="none"/>
        </w:rPr>
        <w:t xml:space="preserve">Figure </w:t>
      </w:r>
      <w:r>
        <w:rPr>
          <w:highlight w:val="none"/>
          <w:lang w:eastAsia="zh-CN"/>
        </w:rPr>
        <w:t>10.7.2</w:t>
      </w:r>
      <w:r>
        <w:rPr>
          <w:highlight w:val="none"/>
        </w:rPr>
        <w:t>-</w:t>
      </w:r>
      <w:r>
        <w:rPr>
          <w:highlight w:val="none"/>
          <w:lang w:eastAsia="zh-CN"/>
        </w:rPr>
        <w:t>1</w:t>
      </w:r>
      <w:r>
        <w:rPr>
          <w:highlight w:val="none"/>
        </w:rPr>
        <w:t>: Inter-M</w:t>
      </w:r>
      <w:r>
        <w:rPr>
          <w:highlight w:val="none"/>
          <w:lang w:eastAsia="zh-CN"/>
        </w:rPr>
        <w:t>N</w:t>
      </w:r>
      <w:r>
        <w:rPr>
          <w:highlight w:val="none"/>
        </w:rPr>
        <w:t xml:space="preserve"> handover with/without MN initiated S</w:t>
      </w:r>
      <w:r>
        <w:rPr>
          <w:highlight w:val="none"/>
          <w:lang w:eastAsia="zh-CN"/>
        </w:rPr>
        <w:t>N</w:t>
      </w:r>
      <w:r>
        <w:rPr>
          <w:highlight w:val="none"/>
        </w:rPr>
        <w:t xml:space="preserve"> change</w:t>
      </w:r>
      <w:r>
        <w:rPr>
          <w:highlight w:val="none"/>
          <w:lang w:eastAsia="zh-CN"/>
        </w:rPr>
        <w:t xml:space="preserve"> procedure</w:t>
      </w:r>
    </w:p>
    <w:p>
      <w:pPr>
        <w:rPr>
          <w:rFonts w:hint="default" w:ascii="Times New Roman" w:hAnsi="Times New Roman" w:eastAsia="等线"/>
          <w:b/>
          <w:bCs/>
          <w:sz w:val="22"/>
          <w:szCs w:val="22"/>
          <w:highlight w:val="none"/>
          <w:lang w:val="en-US" w:eastAsia="zh-CN"/>
        </w:rPr>
      </w:pPr>
    </w:p>
    <w:p>
      <w:pPr>
        <w:jc w:val="center"/>
        <w:rPr>
          <w:b w:val="0"/>
          <w:highlight w:val="none"/>
        </w:rPr>
      </w:pPr>
      <w:r>
        <w:rPr>
          <w:b w:val="0"/>
          <w:highlight w:val="none"/>
        </w:rPr>
        <w:drawing>
          <wp:inline distT="0" distB="0" distL="114300" distR="114300">
            <wp:extent cx="5551170" cy="3267710"/>
            <wp:effectExtent l="0" t="0" r="11430" b="8890"/>
            <wp:docPr id="1" name="图片 76"/>
            <wp:cNvGraphicFramePr/>
            <a:graphic xmlns:a="http://schemas.openxmlformats.org/drawingml/2006/main">
              <a:graphicData uri="http://schemas.openxmlformats.org/drawingml/2006/picture">
                <pic:pic xmlns:pic="http://schemas.openxmlformats.org/drawingml/2006/picture">
                  <pic:nvPicPr>
                    <pic:cNvPr id="1" name="图片 76"/>
                    <pic:cNvPicPr/>
                  </pic:nvPicPr>
                  <pic:blipFill>
                    <a:blip r:embed="rId9"/>
                    <a:stretch>
                      <a:fillRect/>
                    </a:stretch>
                  </pic:blipFill>
                  <pic:spPr>
                    <a:xfrm>
                      <a:off x="0" y="0"/>
                      <a:ext cx="5551170" cy="3267710"/>
                    </a:xfrm>
                    <a:prstGeom prst="rect">
                      <a:avLst/>
                    </a:prstGeom>
                    <a:noFill/>
                    <a:ln>
                      <a:noFill/>
                    </a:ln>
                  </pic:spPr>
                </pic:pic>
              </a:graphicData>
            </a:graphic>
          </wp:inline>
        </w:drawing>
      </w:r>
    </w:p>
    <w:p>
      <w:pPr>
        <w:pStyle w:val="66"/>
        <w:rPr>
          <w:highlight w:val="none"/>
          <w:lang w:eastAsia="zh-CN"/>
        </w:rPr>
      </w:pPr>
      <w:r>
        <w:rPr>
          <w:highlight w:val="none"/>
        </w:rPr>
        <w:t xml:space="preserve">Figure </w:t>
      </w:r>
      <w:r>
        <w:rPr>
          <w:highlight w:val="none"/>
          <w:lang w:eastAsia="zh-CN"/>
        </w:rPr>
        <w:t>10.5.2</w:t>
      </w:r>
      <w:r>
        <w:rPr>
          <w:highlight w:val="none"/>
        </w:rPr>
        <w:t>-</w:t>
      </w:r>
      <w:r>
        <w:rPr>
          <w:highlight w:val="none"/>
          <w:lang w:eastAsia="zh-CN"/>
        </w:rPr>
        <w:t>1</w:t>
      </w:r>
      <w:r>
        <w:rPr>
          <w:highlight w:val="none"/>
        </w:rPr>
        <w:t xml:space="preserve">: </w:t>
      </w:r>
      <w:r>
        <w:rPr>
          <w:highlight w:val="none"/>
          <w:lang w:eastAsia="zh-CN"/>
        </w:rPr>
        <w:t>SN change procedure - MN initiated</w:t>
      </w:r>
    </w:p>
    <w:p>
      <w:pPr>
        <w:pStyle w:val="66"/>
        <w:rPr>
          <w:highlight w:val="none"/>
          <w:lang w:eastAsia="zh-CN"/>
        </w:rPr>
      </w:pPr>
    </w:p>
    <w:p>
      <w:pPr>
        <w:pStyle w:val="67"/>
        <w:rPr>
          <w:highlight w:val="none"/>
        </w:rPr>
      </w:pPr>
      <w:r>
        <w:rPr>
          <w:b w:val="0"/>
          <w:highlight w:val="none"/>
        </w:rPr>
        <w:drawing>
          <wp:inline distT="0" distB="0" distL="114300" distR="114300">
            <wp:extent cx="5561965" cy="3308350"/>
            <wp:effectExtent l="0" t="0" r="635"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a:stretch>
                      <a:fillRect/>
                    </a:stretch>
                  </pic:blipFill>
                  <pic:spPr>
                    <a:xfrm>
                      <a:off x="0" y="0"/>
                      <a:ext cx="5561965" cy="3308350"/>
                    </a:xfrm>
                    <a:prstGeom prst="rect">
                      <a:avLst/>
                    </a:prstGeom>
                    <a:noFill/>
                    <a:ln>
                      <a:noFill/>
                    </a:ln>
                  </pic:spPr>
                </pic:pic>
              </a:graphicData>
            </a:graphic>
          </wp:inline>
        </w:drawing>
      </w:r>
    </w:p>
    <w:p>
      <w:pPr>
        <w:pStyle w:val="66"/>
        <w:rPr>
          <w:highlight w:val="none"/>
        </w:rPr>
      </w:pPr>
      <w:r>
        <w:rPr>
          <w:highlight w:val="none"/>
        </w:rPr>
        <w:t xml:space="preserve">Figure </w:t>
      </w:r>
      <w:r>
        <w:rPr>
          <w:highlight w:val="none"/>
          <w:lang w:eastAsia="zh-CN"/>
        </w:rPr>
        <w:t>10.5.2-2</w:t>
      </w:r>
      <w:r>
        <w:rPr>
          <w:highlight w:val="none"/>
        </w:rPr>
        <w:t xml:space="preserve">: </w:t>
      </w:r>
      <w:r>
        <w:rPr>
          <w:highlight w:val="none"/>
          <w:lang w:eastAsia="zh-CN"/>
        </w:rPr>
        <w:t>SN change procedure - SN initiated</w:t>
      </w:r>
    </w:p>
    <w:p>
      <w:pPr>
        <w:rPr>
          <w:highlight w:val="none"/>
          <w:lang w:eastAsia="zh-CN"/>
        </w:rPr>
      </w:pPr>
    </w:p>
    <w:p>
      <w:pPr>
        <w:rPr>
          <w:b w:val="0"/>
          <w:highlight w:val="none"/>
        </w:rPr>
      </w:pPr>
    </w:p>
    <w:p>
      <w:pPr>
        <w:jc w:val="center"/>
        <w:rPr>
          <w:b w:val="0"/>
          <w:highlight w:val="none"/>
        </w:rPr>
      </w:pPr>
      <w:r>
        <w:rPr>
          <w:b w:val="0"/>
          <w:highlight w:val="none"/>
        </w:rPr>
        <w:object>
          <v:shape id="_x0000_i1026" o:spt="75" type="#_x0000_t75" style="height:296.7pt;width:418.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11">
            <o:LockedField>false</o:LockedField>
          </o:OLEObject>
        </w:object>
      </w:r>
    </w:p>
    <w:p>
      <w:pPr>
        <w:pStyle w:val="66"/>
        <w:spacing w:before="120"/>
        <w:rPr>
          <w:highlight w:val="none"/>
          <w:lang w:eastAsia="zh-CN"/>
        </w:rPr>
      </w:pPr>
      <w:r>
        <w:rPr>
          <w:highlight w:val="none"/>
        </w:rPr>
        <w:t xml:space="preserve">Figure </w:t>
      </w:r>
      <w:r>
        <w:rPr>
          <w:highlight w:val="none"/>
          <w:lang w:eastAsia="zh-CN"/>
        </w:rPr>
        <w:t>10.7.2</w:t>
      </w:r>
      <w:r>
        <w:rPr>
          <w:highlight w:val="none"/>
        </w:rPr>
        <w:t>-</w:t>
      </w:r>
      <w:r>
        <w:rPr>
          <w:highlight w:val="none"/>
          <w:lang w:eastAsia="zh-CN"/>
        </w:rPr>
        <w:t>1</w:t>
      </w:r>
      <w:r>
        <w:rPr>
          <w:highlight w:val="none"/>
        </w:rPr>
        <w:t>: Inter-M</w:t>
      </w:r>
      <w:r>
        <w:rPr>
          <w:highlight w:val="none"/>
          <w:lang w:eastAsia="zh-CN"/>
        </w:rPr>
        <w:t>N</w:t>
      </w:r>
      <w:r>
        <w:rPr>
          <w:highlight w:val="none"/>
        </w:rPr>
        <w:t xml:space="preserve"> handover with/without MN initiated S</w:t>
      </w:r>
      <w:r>
        <w:rPr>
          <w:highlight w:val="none"/>
          <w:lang w:eastAsia="zh-CN"/>
        </w:rPr>
        <w:t>N</w:t>
      </w:r>
      <w:r>
        <w:rPr>
          <w:highlight w:val="none"/>
        </w:rPr>
        <w:t xml:space="preserve"> change</w:t>
      </w:r>
      <w:r>
        <w:rPr>
          <w:highlight w:val="none"/>
          <w:lang w:eastAsia="zh-CN"/>
        </w:rPr>
        <w:t xml:space="preserve"> procedure</w:t>
      </w:r>
    </w:p>
    <w:p>
      <w:pPr>
        <w:jc w:val="center"/>
        <w:rPr>
          <w:rFonts w:hint="default"/>
          <w:b w:val="0"/>
          <w:highlight w:val="none"/>
          <w:lang w:val="en-US" w:eastAsia="zh-CN"/>
        </w:rPr>
      </w:pPr>
    </w:p>
    <w:p>
      <w:pPr>
        <w:pStyle w:val="67"/>
        <w:rPr>
          <w:highlight w:val="none"/>
        </w:rPr>
      </w:pPr>
      <w:r>
        <w:rPr>
          <w:highlight w:val="none"/>
        </w:rPr>
        <w:object>
          <v:shape id="_x0000_i1027" o:spt="75" type="#_x0000_t75" style="height:241.5pt;width:431.2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66"/>
        <w:rPr>
          <w:highlight w:val="none"/>
        </w:rPr>
      </w:pPr>
      <w:r>
        <w:rPr>
          <w:highlight w:val="none"/>
        </w:rPr>
        <w:t>Figure 10.8.1-1: Master Node to eNB Change procedure</w:t>
      </w:r>
    </w:p>
    <w:p>
      <w:pPr>
        <w:pStyle w:val="66"/>
        <w:rPr>
          <w:highlight w:val="none"/>
        </w:rPr>
      </w:pPr>
    </w:p>
    <w:p>
      <w:pPr>
        <w:pStyle w:val="67"/>
        <w:rPr>
          <w:highlight w:val="none"/>
        </w:rPr>
      </w:pPr>
      <w:r>
        <w:rPr>
          <w:highlight w:val="none"/>
        </w:rPr>
        <w:object>
          <v:shape id="_x0000_i1028" o:spt="75" type="#_x0000_t75" style="height:241.5pt;width:431.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4">
            <o:LockedField>false</o:LockedField>
          </o:OLEObject>
        </w:object>
      </w:r>
    </w:p>
    <w:p>
      <w:pPr>
        <w:pStyle w:val="66"/>
        <w:rPr>
          <w:highlight w:val="none"/>
        </w:rPr>
      </w:pPr>
      <w:r>
        <w:rPr>
          <w:highlight w:val="none"/>
        </w:rPr>
        <w:t>Figure 10.8.1-1: Master Node to eNB Change procedure</w:t>
      </w:r>
    </w:p>
    <w:p>
      <w:pPr>
        <w:pStyle w:val="66"/>
        <w:rPr>
          <w:highlight w:val="none"/>
        </w:rPr>
      </w:pPr>
    </w:p>
    <w:p>
      <w:pPr>
        <w:pStyle w:val="67"/>
        <w:rPr>
          <w:highlight w:val="none"/>
        </w:rPr>
      </w:pPr>
      <w:r>
        <w:rPr>
          <w:b w:val="0"/>
          <w:highlight w:val="none"/>
        </w:rPr>
        <w:object>
          <v:shape id="_x0000_i1029" o:spt="75" type="#_x0000_t75" style="height:272.25pt;width:449.25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pPr>
        <w:pStyle w:val="66"/>
        <w:rPr>
          <w:highlight w:val="none"/>
          <w:lang w:eastAsia="zh-CN"/>
        </w:rPr>
      </w:pPr>
      <w:r>
        <w:rPr>
          <w:highlight w:val="none"/>
        </w:rPr>
        <w:t xml:space="preserve">Figure </w:t>
      </w:r>
      <w:r>
        <w:rPr>
          <w:highlight w:val="none"/>
          <w:lang w:eastAsia="zh-CN"/>
        </w:rPr>
        <w:t>10.9.2</w:t>
      </w:r>
      <w:r>
        <w:rPr>
          <w:highlight w:val="none"/>
        </w:rPr>
        <w:t>-</w:t>
      </w:r>
      <w:r>
        <w:rPr>
          <w:highlight w:val="none"/>
          <w:lang w:eastAsia="zh-CN"/>
        </w:rPr>
        <w:t>1</w:t>
      </w:r>
      <w:r>
        <w:rPr>
          <w:highlight w:val="none"/>
        </w:rPr>
        <w:t>: ng-</w:t>
      </w:r>
      <w:r>
        <w:rPr>
          <w:highlight w:val="none"/>
          <w:lang w:eastAsia="zh-CN"/>
        </w:rPr>
        <w:t>eNB/g</w:t>
      </w:r>
      <w:r>
        <w:rPr>
          <w:highlight w:val="none"/>
        </w:rPr>
        <w:t>NB to M</w:t>
      </w:r>
      <w:r>
        <w:rPr>
          <w:highlight w:val="none"/>
          <w:lang w:eastAsia="zh-CN"/>
        </w:rPr>
        <w:t>N</w:t>
      </w:r>
      <w:r>
        <w:rPr>
          <w:highlight w:val="none"/>
        </w:rPr>
        <w:t xml:space="preserve"> change</w:t>
      </w:r>
      <w:r>
        <w:rPr>
          <w:highlight w:val="none"/>
          <w:lang w:eastAsia="zh-CN"/>
        </w:rPr>
        <w:t xml:space="preserve"> procedure</w:t>
      </w:r>
    </w:p>
    <w:p>
      <w:pPr>
        <w:jc w:val="center"/>
        <w:rPr>
          <w:rFonts w:hint="default"/>
          <w:b w:val="0"/>
          <w:highlight w:val="none"/>
          <w:lang w:val="en-US" w:eastAsia="zh-CN"/>
        </w:rPr>
      </w:pPr>
    </w:p>
    <w:p>
      <w:pPr>
        <w:rPr>
          <w:rFonts w:hint="eastAsia" w:ascii="Times New Roman" w:hAnsi="Times New Roman" w:eastAsia="等线" w:cs="Times New Roman"/>
          <w:b/>
          <w:bCs w:val="0"/>
          <w:sz w:val="22"/>
          <w:szCs w:val="22"/>
          <w:highlight w:val="none"/>
          <w:lang w:val="en-US" w:eastAsia="zh-CN"/>
        </w:rPr>
      </w:pPr>
      <w:r>
        <w:rPr>
          <w:rFonts w:hint="eastAsia" w:ascii="Times New Roman" w:hAnsi="Times New Roman" w:eastAsia="等线"/>
          <w:b w:val="0"/>
          <w:bCs w:val="0"/>
          <w:sz w:val="22"/>
          <w:szCs w:val="22"/>
          <w:highlight w:val="none"/>
          <w:lang w:val="en-US" w:eastAsia="zh-CN"/>
        </w:rPr>
        <w:t>After the analysis of the above procedure for mobility in NR-DC, the messages for mobility procedure in NR-DC are similar with the Secondary Node Addition/Secondary Node Release procedure, so it is preferred to include the QMC Coordination messages in the existing procedure, and the QMC configuration information can be exchanged in these message which will have the minimal change to the current specification.</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8: For QoE measurement continuity in mobility scenarios in NR-DC, it is preferred to include the QMC Coordination messages for QMC configuration in the existing procedure, e.g. Secondary Node Addition/Secondary Node Release.</w:t>
      </w:r>
    </w:p>
    <w:p>
      <w:pPr>
        <w:rPr>
          <w:rFonts w:ascii="Times New Roman" w:hAnsi="Times New Roman" w:eastAsia="等线"/>
          <w:b/>
          <w:sz w:val="22"/>
          <w:szCs w:val="22"/>
          <w:highlight w:val="none"/>
          <w:lang w:val="en-US"/>
        </w:rPr>
      </w:pPr>
    </w:p>
    <w:p>
      <w:pPr>
        <w:pStyle w:val="3"/>
        <w:ind w:left="1134" w:hanging="1134"/>
        <w:rPr>
          <w:rFonts w:hint="eastAsia" w:eastAsia="宋体" w:cs="Times New Roman"/>
          <w:sz w:val="24"/>
          <w:szCs w:val="20"/>
          <w:highlight w:val="none"/>
          <w:lang w:val="en-US"/>
        </w:rPr>
      </w:pPr>
      <w:r>
        <w:rPr>
          <w:rFonts w:hint="eastAsia" w:eastAsia="宋体" w:cs="Times New Roman"/>
          <w:sz w:val="24"/>
          <w:szCs w:val="20"/>
          <w:highlight w:val="none"/>
          <w:lang w:val="en-US" w:eastAsia="zh-CN"/>
        </w:rPr>
        <w:t>A</w:t>
      </w:r>
      <w:r>
        <w:rPr>
          <w:rFonts w:hint="eastAsia" w:eastAsia="宋体" w:cs="Times New Roman"/>
          <w:sz w:val="24"/>
          <w:szCs w:val="20"/>
          <w:highlight w:val="none"/>
          <w:lang w:val="en-US"/>
        </w:rPr>
        <w:t>lignment of QoE measurements</w:t>
      </w:r>
      <w:r>
        <w:rPr>
          <w:rFonts w:hint="eastAsia" w:eastAsia="宋体" w:cs="Times New Roman"/>
          <w:sz w:val="24"/>
          <w:szCs w:val="20"/>
          <w:highlight w:val="none"/>
          <w:lang w:val="en-US" w:eastAsia="zh-CN"/>
        </w:rPr>
        <w:t xml:space="preserve"> and radio related measurement in NR-DC</w:t>
      </w:r>
    </w:p>
    <w:p>
      <w:pP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In R17, the NG-RAN Trace ID of MDT will send to gNB in QoE configuration, the NG-RAN node includes the MDT session identifiers (Trace Reference and Trace Recording Session Reference) to the corresponding QoE report  for correlation. In R18, For the </w:t>
      </w:r>
      <w:r>
        <w:rPr>
          <w:rFonts w:hint="eastAsia" w:ascii="Times New Roman" w:hAnsi="Times New Roman" w:eastAsia="宋体" w:cs="Times New Roman"/>
          <w:highlight w:val="none"/>
          <w:lang w:val="en-US" w:eastAsia="zh-CN"/>
        </w:rPr>
        <w:t xml:space="preserve">alignment of QoE measurements and radio related measurement </w:t>
      </w:r>
      <w:r>
        <w:rPr>
          <w:rFonts w:hint="eastAsia" w:ascii="Times New Roman" w:hAnsi="Times New Roman" w:cs="Times New Roman"/>
          <w:highlight w:val="none"/>
          <w:lang w:val="en-US" w:eastAsia="zh-CN"/>
        </w:rPr>
        <w:t xml:space="preserve">in NR-DC, how to correlate the QoE report with both MN and SN MDT report should be discussed. </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rFonts w:hint="eastAsia"/>
          <w:highlight w:val="none"/>
          <w:lang w:val="en-US"/>
        </w:rPr>
      </w:pPr>
    </w:p>
    <w:p>
      <w:pPr>
        <w:pStyle w:val="2"/>
        <w:rPr>
          <w:rFonts w:eastAsia="宋体"/>
          <w:highlight w:val="none"/>
        </w:rPr>
      </w:pPr>
      <w:r>
        <w:rPr>
          <w:rFonts w:eastAsia="宋体"/>
          <w:highlight w:val="none"/>
        </w:rPr>
        <w:t>Conclusion</w:t>
      </w:r>
    </w:p>
    <w:p>
      <w:pPr>
        <w:rPr>
          <w:rFonts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1</w:t>
      </w:r>
      <w:r>
        <w:rPr>
          <w:rFonts w:hint="eastAsia" w:ascii="Times New Roman" w:hAnsi="Times New Roman" w:eastAsia="等线"/>
          <w:b/>
          <w:sz w:val="22"/>
          <w:szCs w:val="22"/>
          <w:highlight w:val="none"/>
          <w:lang w:val="en-US"/>
        </w:rPr>
        <w:t>: The node that received the QoE configuration from the AMF/OAM can send to the other node the list of available RVQoE metrics during RVQoE configuration coordination.</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2</w:t>
      </w:r>
      <w:r>
        <w:rPr>
          <w:rFonts w:hint="eastAsia"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 xml:space="preserve"> The agreement of last meeting should be modified to the following:</w:t>
      </w:r>
    </w:p>
    <w:p>
      <w:pPr>
        <w:rPr>
          <w:rFonts w:hint="eastAsia" w:ascii="Times New Roman" w:hAnsi="Times New Roman" w:eastAsia="等线"/>
          <w:b/>
          <w:sz w:val="22"/>
          <w:szCs w:val="22"/>
          <w:highlight w:val="none"/>
          <w:lang w:val="en-US" w:eastAsia="zh-CN"/>
        </w:rPr>
      </w:pPr>
      <w:r>
        <w:rPr>
          <w:rFonts w:hint="default" w:ascii="Times New Roman" w:hAnsi="Times New Roman" w:eastAsia="等线"/>
          <w:b/>
          <w:sz w:val="22"/>
          <w:szCs w:val="22"/>
          <w:highlight w:val="none"/>
          <w:lang w:val="en-US" w:eastAsia="zh-CN"/>
        </w:rPr>
        <w:t>In the response, the non-RVQoE-configuring node</w:t>
      </w:r>
      <w:r>
        <w:rPr>
          <w:rFonts w:hint="eastAsia" w:ascii="Times New Roman" w:hAnsi="Times New Roman" w:eastAsia="等线"/>
          <w:b/>
          <w:sz w:val="22"/>
          <w:szCs w:val="22"/>
          <w:highlight w:val="none"/>
          <w:lang w:val="en-US" w:eastAsia="zh-CN"/>
        </w:rPr>
        <w:t xml:space="preserve"> ca</w:t>
      </w:r>
      <w:r>
        <w:rPr>
          <w:rFonts w:hint="default" w:ascii="Times New Roman" w:hAnsi="Times New Roman" w:eastAsia="等线"/>
          <w:b/>
          <w:sz w:val="22"/>
          <w:szCs w:val="22"/>
          <w:highlight w:val="none"/>
          <w:lang w:val="en-US" w:eastAsia="zh-CN"/>
        </w:rPr>
        <w:t>n indicate to the RVQoE-configuring node its preferred RVQoE configuration parameters, based on which the RVQoE-configuring node should modify the RVQoE configuration</w:t>
      </w:r>
      <w:r>
        <w:rPr>
          <w:rFonts w:hint="eastAsia" w:ascii="Times New Roman" w:hAnsi="Times New Roman" w:eastAsia="等线"/>
          <w:b/>
          <w:sz w:val="22"/>
          <w:szCs w:val="22"/>
          <w:highlight w:val="none"/>
          <w:lang w:val="en-US" w:eastAsia="zh-CN"/>
        </w:rPr>
        <w:t xml:space="preserve"> send to UE.</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eastAsia="zh-CN"/>
        </w:rPr>
        <w:t>Proposal 3: RAN3 should discuss whether only one node need to configure the RVQoE configuration, if the MN and SN will configure the RVQoE configuration at the same time, how to coordinate the RVQoE configuration and modify the RVQoE configuration send from the non-RVQoE-configuring node should be discussed.</w:t>
      </w:r>
    </w:p>
    <w:p>
      <w:pPr>
        <w:rPr>
          <w:rFonts w:hint="eastAsia" w:ascii="Times New Roman" w:hAnsi="Times New Roman" w:eastAsia="等线"/>
          <w:b/>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4</w:t>
      </w:r>
      <w:r>
        <w:rPr>
          <w:rFonts w:hint="eastAsia" w:ascii="Times New Roman" w:hAnsi="Times New Roman" w:eastAsia="等线"/>
          <w:b/>
          <w:sz w:val="22"/>
          <w:szCs w:val="22"/>
          <w:highlight w:val="none"/>
          <w:lang w:val="en-US"/>
        </w:rPr>
        <w:t xml:space="preserve">: The </w:t>
      </w:r>
      <w:r>
        <w:rPr>
          <w:rFonts w:hint="eastAsia" w:ascii="Times New Roman" w:hAnsi="Times New Roman" w:eastAsia="等线"/>
          <w:b/>
          <w:sz w:val="22"/>
          <w:szCs w:val="22"/>
          <w:highlight w:val="none"/>
          <w:lang w:val="en-US" w:eastAsia="zh-CN"/>
        </w:rPr>
        <w:t>leg switch can be indicated to UE per QoE reference.</w:t>
      </w:r>
      <w:r>
        <w:rPr>
          <w:rFonts w:hint="eastAsia" w:ascii="Times New Roman" w:hAnsi="Times New Roman" w:eastAsia="等线"/>
          <w:b/>
          <w:sz w:val="22"/>
          <w:szCs w:val="22"/>
          <w:highlight w:val="none"/>
          <w:lang w:val="en-US"/>
        </w:rPr>
        <w:t xml:space="preserve"> </w:t>
      </w:r>
    </w:p>
    <w:p>
      <w:pPr>
        <w:rPr>
          <w:rFonts w:ascii="Times New Roman" w:hAnsi="Times New Roman" w:eastAsia="等线"/>
          <w:b/>
          <w:bCs/>
          <w:sz w:val="22"/>
          <w:szCs w:val="22"/>
          <w:highlight w:val="none"/>
          <w:lang w:val="en-US"/>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5</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ascii="Times New Roman" w:hAnsi="Times New Roman" w:eastAsia="等线"/>
          <w:b/>
          <w:bCs/>
          <w:sz w:val="22"/>
          <w:szCs w:val="22"/>
          <w:highlight w:val="none"/>
          <w:lang w:val="en-US"/>
        </w:rPr>
        <w:t xml:space="preserve">For RAN overload scenario, </w:t>
      </w:r>
      <w:r>
        <w:rPr>
          <w:rFonts w:hint="eastAsia" w:ascii="Times New Roman" w:hAnsi="Times New Roman" w:eastAsia="等线"/>
          <w:b/>
          <w:bCs/>
          <w:sz w:val="22"/>
          <w:szCs w:val="22"/>
          <w:highlight w:val="none"/>
          <w:lang w:val="en-US" w:eastAsia="zh-CN"/>
        </w:rPr>
        <w:t>QoE report coordination request message should be send from the node that currently receives the QoE reports, include the QoE reference list it want to send via the peer node</w:t>
      </w:r>
      <w:r>
        <w:rPr>
          <w:rFonts w:ascii="Times New Roman" w:hAnsi="Times New Roman" w:eastAsia="等线"/>
          <w:b/>
          <w:bCs/>
          <w:sz w:val="22"/>
          <w:szCs w:val="22"/>
          <w:highlight w:val="none"/>
          <w:lang w:val="en-US"/>
        </w:rPr>
        <w:t>.</w:t>
      </w:r>
    </w:p>
    <w:p>
      <w:pPr>
        <w:rPr>
          <w:rFonts w:hint="default" w:ascii="Times New Roman" w:hAnsi="Times New Roman" w:eastAsia="等线"/>
          <w:b/>
          <w:bCs/>
          <w:sz w:val="22"/>
          <w:szCs w:val="22"/>
          <w:highlight w:val="none"/>
          <w:lang w:val="en-US" w:eastAsia="zh-CN"/>
        </w:rPr>
      </w:pPr>
      <w:r>
        <w:rPr>
          <w:rFonts w:hint="eastAsia" w:ascii="Times New Roman" w:hAnsi="Times New Roman" w:eastAsia="等线"/>
          <w:b/>
          <w:sz w:val="22"/>
          <w:szCs w:val="22"/>
          <w:highlight w:val="none"/>
          <w:lang w:val="en-US"/>
        </w:rPr>
        <w:t xml:space="preserve">Proposal </w:t>
      </w:r>
      <w:r>
        <w:rPr>
          <w:rFonts w:hint="eastAsia" w:ascii="Times New Roman" w:hAnsi="Times New Roman" w:eastAsia="等线"/>
          <w:b/>
          <w:sz w:val="22"/>
          <w:szCs w:val="22"/>
          <w:highlight w:val="none"/>
          <w:lang w:val="en-US" w:eastAsia="zh-CN"/>
        </w:rPr>
        <w:t>6</w:t>
      </w:r>
      <w:r>
        <w:rPr>
          <w:rFonts w:hint="eastAsia" w:ascii="Times New Roman" w:hAnsi="Times New Roman" w:eastAsia="等线"/>
          <w:b/>
          <w:sz w:val="22"/>
          <w:szCs w:val="22"/>
          <w:highlight w:val="none"/>
          <w:lang w:val="en-US"/>
        </w:rPr>
        <w:t>:</w:t>
      </w:r>
      <w:r>
        <w:rPr>
          <w:rFonts w:ascii="Times New Roman" w:hAnsi="Times New Roman" w:eastAsia="等线"/>
          <w:b/>
          <w:sz w:val="22"/>
          <w:szCs w:val="22"/>
          <w:highlight w:val="none"/>
          <w:lang w:val="en-US"/>
        </w:rPr>
        <w:t xml:space="preserve"> </w:t>
      </w:r>
      <w:r>
        <w:rPr>
          <w:rFonts w:hint="eastAsia" w:ascii="Times New Roman" w:hAnsi="Times New Roman" w:eastAsia="等线"/>
          <w:b/>
          <w:sz w:val="22"/>
          <w:szCs w:val="22"/>
          <w:highlight w:val="none"/>
          <w:lang w:val="en-US" w:eastAsia="zh-CN"/>
        </w:rPr>
        <w:t>For RAN overload scenario, QoE report coordination response message should be send from peer node to indicate all the QoE reports or parts of the QoE reports can be coordinated to the peer node.</w:t>
      </w:r>
    </w:p>
    <w:p>
      <w:pPr>
        <w:rPr>
          <w:rFonts w:hint="eastAsia" w:ascii="Times New Roman" w:hAnsi="Times New Roman" w:eastAsia="等线"/>
          <w:b/>
          <w:sz w:val="22"/>
          <w:szCs w:val="22"/>
          <w:highlight w:val="none"/>
          <w:lang w:val="en-US" w:eastAsia="zh-CN"/>
        </w:rPr>
      </w:pPr>
      <w:r>
        <w:rPr>
          <w:rFonts w:hint="eastAsia" w:ascii="Times New Roman" w:hAnsi="Times New Roman" w:eastAsia="等线"/>
          <w:b/>
          <w:sz w:val="22"/>
          <w:szCs w:val="22"/>
          <w:highlight w:val="none"/>
          <w:lang w:val="en-US" w:eastAsia="zh-CN"/>
        </w:rPr>
        <w:t>Proposal 7: RRC Transfer procedure can be considered to transfer the RVQoE report between MN and SN.</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8: For QoE measurement continuity in mobility scenarios in NR-DC, it is preferred to include the QMC Coordination messages for QMC configuration in the existing procedure, e.g. Secondary Node Addition/Secondary Node Release.</w:t>
      </w:r>
    </w:p>
    <w:p>
      <w:pPr>
        <w:rPr>
          <w:rFonts w:hint="default" w:ascii="Times New Roman" w:hAnsi="Times New Roman" w:cs="Times New Roman"/>
          <w:highlight w:val="none"/>
          <w:lang w:val="en-US" w:eastAsia="zh-CN"/>
        </w:rPr>
      </w:pPr>
      <w:r>
        <w:rPr>
          <w:rFonts w:hint="eastAsia" w:ascii="Times New Roman" w:hAnsi="Times New Roman" w:eastAsia="等线" w:cs="Times New Roman"/>
          <w:b/>
          <w:bCs w:val="0"/>
          <w:sz w:val="22"/>
          <w:szCs w:val="22"/>
          <w:highlight w:val="none"/>
          <w:lang w:val="en-US" w:eastAsia="zh-CN"/>
        </w:rPr>
        <w:t>Proposal 9: In NR-DC, how to correlate the QoE report with MDT report of both MN and SN should be discussed.</w:t>
      </w:r>
    </w:p>
    <w:p>
      <w:pPr>
        <w:rPr>
          <w:highlight w:val="none"/>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B9444"/>
    <w:multiLevelType w:val="singleLevel"/>
    <w:tmpl w:val="E6BB9444"/>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4F9F322"/>
    <w:multiLevelType w:val="singleLevel"/>
    <w:tmpl w:val="04F9F322"/>
    <w:lvl w:ilvl="0" w:tentative="0">
      <w:start w:val="1"/>
      <w:numFmt w:val="decimal"/>
      <w:suff w:val="space"/>
      <w:lvlText w:val="%1."/>
      <w:lvlJc w:val="left"/>
    </w:lvl>
  </w:abstractNum>
  <w:abstractNum w:abstractNumId="3">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0067E29"/>
    <w:multiLevelType w:val="multilevel"/>
    <w:tmpl w:val="60067E29"/>
    <w:lvl w:ilvl="0" w:tentative="0">
      <w:start w:val="1"/>
      <w:numFmt w:val="bullet"/>
      <w:lvlText w:val=""/>
      <w:lvlJc w:val="left"/>
      <w:pPr>
        <w:tabs>
          <w:tab w:val="left" w:pos="720"/>
        </w:tabs>
        <w:ind w:left="720" w:hanging="360"/>
      </w:pPr>
      <w:rPr>
        <w:rFonts w:hint="default" w:ascii="Symbol" w:hAnsi="Symbol"/>
        <w:color w:val="00B050"/>
        <w:sz w:val="20"/>
        <w:szCs w:val="20"/>
      </w:rPr>
    </w:lvl>
    <w:lvl w:ilvl="1" w:tentative="0">
      <w:start w:val="1"/>
      <w:numFmt w:val="bullet"/>
      <w:lvlText w:val=""/>
      <w:lvlJc w:val="left"/>
      <w:pPr>
        <w:tabs>
          <w:tab w:val="left" w:pos="1440"/>
        </w:tabs>
        <w:ind w:left="1440" w:hanging="360"/>
      </w:pPr>
      <w:rPr>
        <w:rFonts w:hint="default" w:ascii="Symbol" w:hAnsi="Symbol"/>
        <w:sz w:val="20"/>
        <w:szCs w:val="20"/>
      </w:rPr>
    </w:lvl>
    <w:lvl w:ilvl="2" w:tentative="0">
      <w:start w:val="1"/>
      <w:numFmt w:val="bullet"/>
      <w:lvlText w:val=""/>
      <w:lvlJc w:val="left"/>
      <w:pPr>
        <w:tabs>
          <w:tab w:val="left" w:pos="2160"/>
        </w:tabs>
        <w:ind w:left="2160" w:hanging="360"/>
      </w:pPr>
      <w:rPr>
        <w:rFonts w:hint="default" w:ascii="Symbol" w:hAnsi="Symbol"/>
        <w:sz w:val="20"/>
        <w:szCs w:val="20"/>
      </w:rPr>
    </w:lvl>
    <w:lvl w:ilvl="3" w:tentative="0">
      <w:start w:val="1"/>
      <w:numFmt w:val="bullet"/>
      <w:lvlText w:val=""/>
      <w:lvlJc w:val="left"/>
      <w:pPr>
        <w:tabs>
          <w:tab w:val="left" w:pos="2880"/>
        </w:tabs>
        <w:ind w:left="2880" w:hanging="360"/>
      </w:pPr>
      <w:rPr>
        <w:rFonts w:hint="default" w:ascii="Symbol" w:hAnsi="Symbol"/>
        <w:sz w:val="20"/>
        <w:szCs w:val="20"/>
      </w:rPr>
    </w:lvl>
    <w:lvl w:ilvl="4" w:tentative="0">
      <w:start w:val="1"/>
      <w:numFmt w:val="bullet"/>
      <w:lvlText w:val=""/>
      <w:lvlJc w:val="left"/>
      <w:pPr>
        <w:tabs>
          <w:tab w:val="left" w:pos="3600"/>
        </w:tabs>
        <w:ind w:left="3600" w:hanging="360"/>
      </w:pPr>
      <w:rPr>
        <w:rFonts w:hint="default" w:ascii="Symbol" w:hAnsi="Symbol"/>
        <w:sz w:val="20"/>
        <w:szCs w:val="20"/>
      </w:rPr>
    </w:lvl>
    <w:lvl w:ilvl="5" w:tentative="0">
      <w:start w:val="1"/>
      <w:numFmt w:val="bullet"/>
      <w:lvlText w:val=""/>
      <w:lvlJc w:val="left"/>
      <w:pPr>
        <w:tabs>
          <w:tab w:val="left" w:pos="4320"/>
        </w:tabs>
        <w:ind w:left="4320" w:hanging="360"/>
      </w:pPr>
      <w:rPr>
        <w:rFonts w:hint="default" w:ascii="Symbol" w:hAnsi="Symbol"/>
        <w:sz w:val="20"/>
        <w:szCs w:val="20"/>
      </w:rPr>
    </w:lvl>
    <w:lvl w:ilvl="6" w:tentative="0">
      <w:start w:val="1"/>
      <w:numFmt w:val="bullet"/>
      <w:lvlText w:val=""/>
      <w:lvlJc w:val="left"/>
      <w:pPr>
        <w:tabs>
          <w:tab w:val="left" w:pos="5040"/>
        </w:tabs>
        <w:ind w:left="5040" w:hanging="360"/>
      </w:pPr>
      <w:rPr>
        <w:rFonts w:hint="default" w:ascii="Symbol" w:hAnsi="Symbol"/>
        <w:sz w:val="20"/>
        <w:szCs w:val="20"/>
      </w:rPr>
    </w:lvl>
    <w:lvl w:ilvl="7" w:tentative="0">
      <w:start w:val="1"/>
      <w:numFmt w:val="bullet"/>
      <w:lvlText w:val=""/>
      <w:lvlJc w:val="left"/>
      <w:pPr>
        <w:tabs>
          <w:tab w:val="left" w:pos="5760"/>
        </w:tabs>
        <w:ind w:left="5760" w:hanging="360"/>
      </w:pPr>
      <w:rPr>
        <w:rFonts w:hint="default" w:ascii="Symbol" w:hAnsi="Symbol"/>
        <w:sz w:val="20"/>
        <w:szCs w:val="20"/>
      </w:rPr>
    </w:lvl>
    <w:lvl w:ilvl="8" w:tentative="0">
      <w:start w:val="1"/>
      <w:numFmt w:val="bullet"/>
      <w:lvlText w:val=""/>
      <w:lvlJc w:val="left"/>
      <w:pPr>
        <w:tabs>
          <w:tab w:val="left" w:pos="6480"/>
        </w:tabs>
        <w:ind w:left="6480" w:hanging="360"/>
      </w:pPr>
      <w:rPr>
        <w:rFonts w:hint="default" w:ascii="Symbol" w:hAnsi="Symbol"/>
        <w:sz w:val="20"/>
        <w:szCs w:val="20"/>
      </w:rPr>
    </w:lvl>
  </w:abstractNum>
  <w:num w:numId="1">
    <w:abstractNumId w:val="1"/>
  </w:num>
  <w:num w:numId="2">
    <w:abstractNumId w:val="5"/>
  </w:num>
  <w:num w:numId="3">
    <w:abstractNumId w:val="4"/>
  </w:num>
  <w:num w:numId="4">
    <w:abstractNumId w:val="7"/>
  </w:num>
  <w:num w:numId="5">
    <w:abstractNumId w:val="3"/>
  </w:num>
  <w:num w:numId="6">
    <w:abstractNumId w:val="6"/>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4947"/>
    <w:rsid w:val="0003527D"/>
    <w:rsid w:val="000353D5"/>
    <w:rsid w:val="00035C3A"/>
    <w:rsid w:val="00035DD7"/>
    <w:rsid w:val="00035ED7"/>
    <w:rsid w:val="00035F58"/>
    <w:rsid w:val="00036135"/>
    <w:rsid w:val="000361BC"/>
    <w:rsid w:val="000363B4"/>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3818"/>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6F45"/>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3D16"/>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800"/>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984"/>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4EAE"/>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4BFA"/>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DFC"/>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BAE"/>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891"/>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1510"/>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44AD"/>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605"/>
    <w:rsid w:val="003F18AA"/>
    <w:rsid w:val="003F1D8A"/>
    <w:rsid w:val="003F241A"/>
    <w:rsid w:val="003F26F8"/>
    <w:rsid w:val="003F2BBB"/>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694"/>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88"/>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5B3"/>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CBE"/>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13"/>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3FB"/>
    <w:rsid w:val="00694562"/>
    <w:rsid w:val="0069472A"/>
    <w:rsid w:val="00694896"/>
    <w:rsid w:val="00694C2C"/>
    <w:rsid w:val="00694E30"/>
    <w:rsid w:val="00695A5C"/>
    <w:rsid w:val="00696F08"/>
    <w:rsid w:val="006979B1"/>
    <w:rsid w:val="006A0A5A"/>
    <w:rsid w:val="006A1AAC"/>
    <w:rsid w:val="006A1E47"/>
    <w:rsid w:val="006A33E9"/>
    <w:rsid w:val="006A34E3"/>
    <w:rsid w:val="006A3EE4"/>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7E4"/>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1B4"/>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5C17"/>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37523"/>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65"/>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0E31"/>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E7D"/>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86F"/>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43"/>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065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3C1"/>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6D9"/>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511"/>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3FC5"/>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9F5"/>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0CB"/>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2D6"/>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488B"/>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9FF"/>
    <w:rsid w:val="00B87A40"/>
    <w:rsid w:val="00B87B59"/>
    <w:rsid w:val="00B902C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4CF"/>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3CAE"/>
    <w:rsid w:val="00C65196"/>
    <w:rsid w:val="00C657CB"/>
    <w:rsid w:val="00C67471"/>
    <w:rsid w:val="00C67540"/>
    <w:rsid w:val="00C679ED"/>
    <w:rsid w:val="00C71DCB"/>
    <w:rsid w:val="00C72172"/>
    <w:rsid w:val="00C73697"/>
    <w:rsid w:val="00C7376B"/>
    <w:rsid w:val="00C73834"/>
    <w:rsid w:val="00C739A3"/>
    <w:rsid w:val="00C7400A"/>
    <w:rsid w:val="00C747D1"/>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8B6"/>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07F0E"/>
    <w:rsid w:val="00E103D0"/>
    <w:rsid w:val="00E105A6"/>
    <w:rsid w:val="00E1068E"/>
    <w:rsid w:val="00E10838"/>
    <w:rsid w:val="00E10A59"/>
    <w:rsid w:val="00E113A7"/>
    <w:rsid w:val="00E1155A"/>
    <w:rsid w:val="00E11ADF"/>
    <w:rsid w:val="00E12187"/>
    <w:rsid w:val="00E123AB"/>
    <w:rsid w:val="00E12463"/>
    <w:rsid w:val="00E1258C"/>
    <w:rsid w:val="00E1267B"/>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947"/>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61E"/>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78F"/>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4ED7"/>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5D"/>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093"/>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12562C"/>
    <w:rsid w:val="018800AA"/>
    <w:rsid w:val="01953CF4"/>
    <w:rsid w:val="01FF420C"/>
    <w:rsid w:val="027C0B8B"/>
    <w:rsid w:val="02BE4901"/>
    <w:rsid w:val="02BE598D"/>
    <w:rsid w:val="03102EAD"/>
    <w:rsid w:val="03823CCE"/>
    <w:rsid w:val="03ED4131"/>
    <w:rsid w:val="04752218"/>
    <w:rsid w:val="04806B7E"/>
    <w:rsid w:val="04BA29B7"/>
    <w:rsid w:val="05C55C2E"/>
    <w:rsid w:val="061B0606"/>
    <w:rsid w:val="0637581D"/>
    <w:rsid w:val="063F7AB5"/>
    <w:rsid w:val="07564B65"/>
    <w:rsid w:val="082E5B31"/>
    <w:rsid w:val="08717CD6"/>
    <w:rsid w:val="08CD339C"/>
    <w:rsid w:val="08CF208F"/>
    <w:rsid w:val="08F31921"/>
    <w:rsid w:val="091907C8"/>
    <w:rsid w:val="093667F2"/>
    <w:rsid w:val="09542584"/>
    <w:rsid w:val="09D72C99"/>
    <w:rsid w:val="0A491491"/>
    <w:rsid w:val="0AC71EE3"/>
    <w:rsid w:val="0B486311"/>
    <w:rsid w:val="0B5F6E5D"/>
    <w:rsid w:val="0BA63FBF"/>
    <w:rsid w:val="0BB124BD"/>
    <w:rsid w:val="0BD95AE1"/>
    <w:rsid w:val="0C1C61E1"/>
    <w:rsid w:val="0C303ECB"/>
    <w:rsid w:val="0C8655D1"/>
    <w:rsid w:val="0CF87132"/>
    <w:rsid w:val="0D1459B6"/>
    <w:rsid w:val="0E1D4901"/>
    <w:rsid w:val="0E9E384F"/>
    <w:rsid w:val="0F525467"/>
    <w:rsid w:val="0F8B024A"/>
    <w:rsid w:val="0FDA68AA"/>
    <w:rsid w:val="10C04426"/>
    <w:rsid w:val="10FB150B"/>
    <w:rsid w:val="111432B7"/>
    <w:rsid w:val="111F41C0"/>
    <w:rsid w:val="11A502B5"/>
    <w:rsid w:val="125A4EAA"/>
    <w:rsid w:val="12A02E80"/>
    <w:rsid w:val="12B23BCF"/>
    <w:rsid w:val="13270AC8"/>
    <w:rsid w:val="13392E6D"/>
    <w:rsid w:val="134342A3"/>
    <w:rsid w:val="144C30DB"/>
    <w:rsid w:val="14576AE2"/>
    <w:rsid w:val="14764DB5"/>
    <w:rsid w:val="15EF77C6"/>
    <w:rsid w:val="16117FCC"/>
    <w:rsid w:val="166824B4"/>
    <w:rsid w:val="16AE2442"/>
    <w:rsid w:val="16D02443"/>
    <w:rsid w:val="16E46B93"/>
    <w:rsid w:val="17060160"/>
    <w:rsid w:val="18650326"/>
    <w:rsid w:val="193623D1"/>
    <w:rsid w:val="197A336A"/>
    <w:rsid w:val="19E57B15"/>
    <w:rsid w:val="1A145EE5"/>
    <w:rsid w:val="1A5D4B06"/>
    <w:rsid w:val="1B1D0797"/>
    <w:rsid w:val="1B545DD1"/>
    <w:rsid w:val="1B9E4EC2"/>
    <w:rsid w:val="1C06768E"/>
    <w:rsid w:val="1C1E5D3E"/>
    <w:rsid w:val="1CBA7FAF"/>
    <w:rsid w:val="1CE077EC"/>
    <w:rsid w:val="1D2241D4"/>
    <w:rsid w:val="1D29152C"/>
    <w:rsid w:val="1D43574A"/>
    <w:rsid w:val="1D634F0F"/>
    <w:rsid w:val="1ED04645"/>
    <w:rsid w:val="1F3446C1"/>
    <w:rsid w:val="1F8B4261"/>
    <w:rsid w:val="1F9B7FFA"/>
    <w:rsid w:val="1FA54280"/>
    <w:rsid w:val="219B1BEF"/>
    <w:rsid w:val="21C51C0F"/>
    <w:rsid w:val="226E17EF"/>
    <w:rsid w:val="229E0E8F"/>
    <w:rsid w:val="22C20E17"/>
    <w:rsid w:val="22C9418D"/>
    <w:rsid w:val="23154713"/>
    <w:rsid w:val="23434606"/>
    <w:rsid w:val="23917DB2"/>
    <w:rsid w:val="23C925DD"/>
    <w:rsid w:val="242F2C13"/>
    <w:rsid w:val="24E56C29"/>
    <w:rsid w:val="257139A1"/>
    <w:rsid w:val="26505B9B"/>
    <w:rsid w:val="265E296E"/>
    <w:rsid w:val="26E4639A"/>
    <w:rsid w:val="27DF4678"/>
    <w:rsid w:val="28247D16"/>
    <w:rsid w:val="283D4410"/>
    <w:rsid w:val="284C56EF"/>
    <w:rsid w:val="295419DA"/>
    <w:rsid w:val="29E56D4B"/>
    <w:rsid w:val="29FE4971"/>
    <w:rsid w:val="2A2806F3"/>
    <w:rsid w:val="2A463335"/>
    <w:rsid w:val="2A947DE8"/>
    <w:rsid w:val="2AA22934"/>
    <w:rsid w:val="2AC43948"/>
    <w:rsid w:val="2B28065B"/>
    <w:rsid w:val="2B345733"/>
    <w:rsid w:val="2B3F72B2"/>
    <w:rsid w:val="2B4F306B"/>
    <w:rsid w:val="2B7259B8"/>
    <w:rsid w:val="2BDB354D"/>
    <w:rsid w:val="2CE03230"/>
    <w:rsid w:val="2D462219"/>
    <w:rsid w:val="2E177FDB"/>
    <w:rsid w:val="2E462A06"/>
    <w:rsid w:val="2E6A74B4"/>
    <w:rsid w:val="2E6D0438"/>
    <w:rsid w:val="2F157F4A"/>
    <w:rsid w:val="2F6621DF"/>
    <w:rsid w:val="2FB510EC"/>
    <w:rsid w:val="2FC32F68"/>
    <w:rsid w:val="30761D31"/>
    <w:rsid w:val="30BA3ED1"/>
    <w:rsid w:val="30BE3A29"/>
    <w:rsid w:val="30CB71E3"/>
    <w:rsid w:val="31204968"/>
    <w:rsid w:val="327117F0"/>
    <w:rsid w:val="32893AB7"/>
    <w:rsid w:val="32FA3EC5"/>
    <w:rsid w:val="332350B4"/>
    <w:rsid w:val="33EA35AD"/>
    <w:rsid w:val="34F446B1"/>
    <w:rsid w:val="353A0AAB"/>
    <w:rsid w:val="357339D9"/>
    <w:rsid w:val="35A10BB2"/>
    <w:rsid w:val="36273A23"/>
    <w:rsid w:val="362B08C7"/>
    <w:rsid w:val="362E7B8F"/>
    <w:rsid w:val="36310C28"/>
    <w:rsid w:val="36792C62"/>
    <w:rsid w:val="368461D9"/>
    <w:rsid w:val="36F40202"/>
    <w:rsid w:val="37166B78"/>
    <w:rsid w:val="376A5776"/>
    <w:rsid w:val="37EF2E51"/>
    <w:rsid w:val="3822721A"/>
    <w:rsid w:val="38C079AD"/>
    <w:rsid w:val="38C9453B"/>
    <w:rsid w:val="392D14D4"/>
    <w:rsid w:val="39411259"/>
    <w:rsid w:val="396439E6"/>
    <w:rsid w:val="39796DCB"/>
    <w:rsid w:val="3A041AE9"/>
    <w:rsid w:val="3A8004E3"/>
    <w:rsid w:val="3AE31128"/>
    <w:rsid w:val="3B674128"/>
    <w:rsid w:val="3BF646CD"/>
    <w:rsid w:val="3C7209A7"/>
    <w:rsid w:val="3C920C37"/>
    <w:rsid w:val="3CA45F55"/>
    <w:rsid w:val="3CB75A2A"/>
    <w:rsid w:val="3CED5BAF"/>
    <w:rsid w:val="3E090BF1"/>
    <w:rsid w:val="3E71782D"/>
    <w:rsid w:val="3F486CE9"/>
    <w:rsid w:val="3F5546BC"/>
    <w:rsid w:val="3F684F93"/>
    <w:rsid w:val="3FC41C51"/>
    <w:rsid w:val="3FE27CDB"/>
    <w:rsid w:val="3FED4319"/>
    <w:rsid w:val="401B58E0"/>
    <w:rsid w:val="401D6822"/>
    <w:rsid w:val="40F82F02"/>
    <w:rsid w:val="41E94325"/>
    <w:rsid w:val="422C2522"/>
    <w:rsid w:val="42570974"/>
    <w:rsid w:val="42AC253D"/>
    <w:rsid w:val="43266FB8"/>
    <w:rsid w:val="43AC0714"/>
    <w:rsid w:val="43AC6997"/>
    <w:rsid w:val="43E26D2A"/>
    <w:rsid w:val="44EE7080"/>
    <w:rsid w:val="44F745CF"/>
    <w:rsid w:val="45160495"/>
    <w:rsid w:val="451C4FB1"/>
    <w:rsid w:val="453B1CD3"/>
    <w:rsid w:val="455517CB"/>
    <w:rsid w:val="457825E4"/>
    <w:rsid w:val="459F465A"/>
    <w:rsid w:val="46432FE7"/>
    <w:rsid w:val="46796A6B"/>
    <w:rsid w:val="4693423A"/>
    <w:rsid w:val="46AE0DDA"/>
    <w:rsid w:val="4701694A"/>
    <w:rsid w:val="47072496"/>
    <w:rsid w:val="471A7B91"/>
    <w:rsid w:val="47275B26"/>
    <w:rsid w:val="47A47339"/>
    <w:rsid w:val="47B36DD3"/>
    <w:rsid w:val="47D5208C"/>
    <w:rsid w:val="47D80000"/>
    <w:rsid w:val="48C63DF7"/>
    <w:rsid w:val="48C77CED"/>
    <w:rsid w:val="494178AD"/>
    <w:rsid w:val="494E3DC0"/>
    <w:rsid w:val="49823E03"/>
    <w:rsid w:val="499E5B89"/>
    <w:rsid w:val="4B3833FC"/>
    <w:rsid w:val="4B766B51"/>
    <w:rsid w:val="4C1134F9"/>
    <w:rsid w:val="4D6250F1"/>
    <w:rsid w:val="4DAE57E3"/>
    <w:rsid w:val="4E2646EA"/>
    <w:rsid w:val="4E8765F5"/>
    <w:rsid w:val="4EBC6B68"/>
    <w:rsid w:val="4F114EFD"/>
    <w:rsid w:val="4F71072F"/>
    <w:rsid w:val="4FAD5B31"/>
    <w:rsid w:val="4FF614FC"/>
    <w:rsid w:val="50473316"/>
    <w:rsid w:val="507351DD"/>
    <w:rsid w:val="513D08B7"/>
    <w:rsid w:val="51405AFB"/>
    <w:rsid w:val="514903C3"/>
    <w:rsid w:val="5191417F"/>
    <w:rsid w:val="51DC14C4"/>
    <w:rsid w:val="51ED116C"/>
    <w:rsid w:val="523A7C7F"/>
    <w:rsid w:val="52B6455F"/>
    <w:rsid w:val="52DD19BB"/>
    <w:rsid w:val="531829B6"/>
    <w:rsid w:val="531942AD"/>
    <w:rsid w:val="5370492F"/>
    <w:rsid w:val="540F52BD"/>
    <w:rsid w:val="545123F3"/>
    <w:rsid w:val="549C38C8"/>
    <w:rsid w:val="54EC4684"/>
    <w:rsid w:val="54F64263"/>
    <w:rsid w:val="551303A1"/>
    <w:rsid w:val="56362637"/>
    <w:rsid w:val="56EA0AB1"/>
    <w:rsid w:val="574122DC"/>
    <w:rsid w:val="575D3263"/>
    <w:rsid w:val="576D087E"/>
    <w:rsid w:val="57835EA0"/>
    <w:rsid w:val="57951174"/>
    <w:rsid w:val="58335A5D"/>
    <w:rsid w:val="58807BDE"/>
    <w:rsid w:val="58D871AE"/>
    <w:rsid w:val="590A7350"/>
    <w:rsid w:val="596C02F9"/>
    <w:rsid w:val="59B85CCA"/>
    <w:rsid w:val="59BC4ED0"/>
    <w:rsid w:val="59E5080C"/>
    <w:rsid w:val="59EF1AD9"/>
    <w:rsid w:val="59FA2872"/>
    <w:rsid w:val="5A101373"/>
    <w:rsid w:val="5A2C7526"/>
    <w:rsid w:val="5A8D3A63"/>
    <w:rsid w:val="5A9D3EE7"/>
    <w:rsid w:val="5AC805F8"/>
    <w:rsid w:val="5AEC74F8"/>
    <w:rsid w:val="5B4F5045"/>
    <w:rsid w:val="5B7079CB"/>
    <w:rsid w:val="5BC11016"/>
    <w:rsid w:val="5BD762C4"/>
    <w:rsid w:val="5C02368F"/>
    <w:rsid w:val="5C7143C6"/>
    <w:rsid w:val="5CC8203E"/>
    <w:rsid w:val="5CED4F6D"/>
    <w:rsid w:val="5CF862C6"/>
    <w:rsid w:val="5D1464A5"/>
    <w:rsid w:val="5D5C1E8F"/>
    <w:rsid w:val="5D5E4DB7"/>
    <w:rsid w:val="5DE7127A"/>
    <w:rsid w:val="5DF77DE0"/>
    <w:rsid w:val="5E1955EB"/>
    <w:rsid w:val="5E4A6AD5"/>
    <w:rsid w:val="5E7023B2"/>
    <w:rsid w:val="5E912514"/>
    <w:rsid w:val="5F0F7504"/>
    <w:rsid w:val="5FC553F9"/>
    <w:rsid w:val="606210AF"/>
    <w:rsid w:val="60A93A22"/>
    <w:rsid w:val="60C3026A"/>
    <w:rsid w:val="617B2260"/>
    <w:rsid w:val="619F3B34"/>
    <w:rsid w:val="61B07210"/>
    <w:rsid w:val="624C4A0C"/>
    <w:rsid w:val="629F20B6"/>
    <w:rsid w:val="62A10176"/>
    <w:rsid w:val="63062E48"/>
    <w:rsid w:val="63097D09"/>
    <w:rsid w:val="639221EC"/>
    <w:rsid w:val="640139DD"/>
    <w:rsid w:val="64205924"/>
    <w:rsid w:val="64654323"/>
    <w:rsid w:val="64B516AE"/>
    <w:rsid w:val="65803F95"/>
    <w:rsid w:val="65B91104"/>
    <w:rsid w:val="660C196D"/>
    <w:rsid w:val="6669436A"/>
    <w:rsid w:val="66CE5C6A"/>
    <w:rsid w:val="66FB3B9A"/>
    <w:rsid w:val="676A48B2"/>
    <w:rsid w:val="678D1434"/>
    <w:rsid w:val="67A06F8C"/>
    <w:rsid w:val="67B54588"/>
    <w:rsid w:val="67DD6DAE"/>
    <w:rsid w:val="67F95DDB"/>
    <w:rsid w:val="680F3235"/>
    <w:rsid w:val="684B3447"/>
    <w:rsid w:val="689D062F"/>
    <w:rsid w:val="69862E6A"/>
    <w:rsid w:val="69960847"/>
    <w:rsid w:val="69A17C70"/>
    <w:rsid w:val="69CD0BDF"/>
    <w:rsid w:val="69E87B42"/>
    <w:rsid w:val="69EC32FE"/>
    <w:rsid w:val="69FA2796"/>
    <w:rsid w:val="6B9F6E13"/>
    <w:rsid w:val="6BB87C7D"/>
    <w:rsid w:val="6BE50B5D"/>
    <w:rsid w:val="6C2548E3"/>
    <w:rsid w:val="6CEB7969"/>
    <w:rsid w:val="6CEE7C83"/>
    <w:rsid w:val="6DA4006D"/>
    <w:rsid w:val="6DB25003"/>
    <w:rsid w:val="6DDB620D"/>
    <w:rsid w:val="6F9A3BA7"/>
    <w:rsid w:val="6FA50228"/>
    <w:rsid w:val="6FDB386D"/>
    <w:rsid w:val="6FF67743"/>
    <w:rsid w:val="711E0693"/>
    <w:rsid w:val="713E0C0B"/>
    <w:rsid w:val="729D729D"/>
    <w:rsid w:val="72D958AB"/>
    <w:rsid w:val="735B2D57"/>
    <w:rsid w:val="73EE4C3F"/>
    <w:rsid w:val="74272B19"/>
    <w:rsid w:val="74346EAC"/>
    <w:rsid w:val="743D3AC4"/>
    <w:rsid w:val="74516EE2"/>
    <w:rsid w:val="74D63C4F"/>
    <w:rsid w:val="753C1C4E"/>
    <w:rsid w:val="76616E61"/>
    <w:rsid w:val="76A03DCF"/>
    <w:rsid w:val="77042BC8"/>
    <w:rsid w:val="778F5EF7"/>
    <w:rsid w:val="77A33DD6"/>
    <w:rsid w:val="781B5B43"/>
    <w:rsid w:val="788C4C80"/>
    <w:rsid w:val="78A13E89"/>
    <w:rsid w:val="78D31F49"/>
    <w:rsid w:val="79114B33"/>
    <w:rsid w:val="791259C0"/>
    <w:rsid w:val="79F65D09"/>
    <w:rsid w:val="7AC91CFF"/>
    <w:rsid w:val="7B2A4C01"/>
    <w:rsid w:val="7B3A3F28"/>
    <w:rsid w:val="7BFF6BFE"/>
    <w:rsid w:val="7C03215E"/>
    <w:rsid w:val="7C0323A6"/>
    <w:rsid w:val="7C290923"/>
    <w:rsid w:val="7E80646A"/>
    <w:rsid w:val="7F16734A"/>
    <w:rsid w:val="7F252F06"/>
    <w:rsid w:val="7F2A369C"/>
    <w:rsid w:val="7F4E2B7E"/>
    <w:rsid w:val="7F52517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表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67"/>
    <w:link w:val="68"/>
    <w:qFormat/>
    <w:uiPriority w:val="0"/>
    <w:pPr>
      <w:keepLines/>
      <w:overflowPunct/>
      <w:autoSpaceDE/>
      <w:autoSpaceDN/>
      <w:adjustRightInd/>
      <w:spacing w:after="240"/>
      <w:jc w:val="center"/>
      <w:textAlignment w:val="auto"/>
    </w:pPr>
    <w:rPr>
      <w:rFonts w:eastAsia="宋体"/>
      <w:lang w:eastAsia="en-US"/>
    </w:rPr>
  </w:style>
  <w:style w:type="paragraph" w:customStyle="1" w:styleId="67">
    <w:name w:val="TH"/>
    <w:basedOn w:val="1"/>
    <w:qFormat/>
    <w:uiPriority w:val="0"/>
    <w:pPr>
      <w:keepNext/>
      <w:keepLines/>
      <w:spacing w:before="60"/>
      <w:jc w:val="center"/>
    </w:pPr>
    <w:rPr>
      <w:rFonts w:ascii="Arial" w:hAnsi="Arial"/>
      <w:b/>
    </w:rPr>
  </w:style>
  <w:style w:type="character" w:customStyle="1" w:styleId="68">
    <w:name w:val="TF Char"/>
    <w:link w:val="66"/>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1"/>
    <w:unhideWhenUsed/>
    <w:qFormat/>
    <w:uiPriority w:val="99"/>
    <w:rPr>
      <w:color w:val="605E5C"/>
      <w:shd w:val="clear" w:color="auto" w:fill="E1DFDD"/>
    </w:rPr>
  </w:style>
  <w:style w:type="character" w:customStyle="1" w:styleId="73">
    <w:name w:val="@他1"/>
    <w:basedOn w:val="21"/>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character" w:customStyle="1" w:styleId="75">
    <w:name w:val="首标题"/>
    <w:qFormat/>
    <w:uiPriority w:val="0"/>
    <w:rPr>
      <w:rFonts w:ascii="Arial" w:hAnsi="Arial" w:eastAsia="宋体"/>
      <w:sz w:val="24"/>
      <w:lang w:val="en-US" w:eastAsia="zh-CN" w:bidi="ar-SA"/>
    </w:rPr>
  </w:style>
  <w:style w:type="paragraph" w:customStyle="1" w:styleId="76">
    <w:name w:val="修订2"/>
    <w:hidden/>
    <w:semiHidden/>
    <w:qFormat/>
    <w:uiPriority w:val="99"/>
    <w:rPr>
      <w:rFonts w:ascii="Arial" w:hAnsi="Arial" w:eastAsia="Times New Roman" w:cs="Times New Roman"/>
      <w:lang w:val="en-GB" w:eastAsia="zh-CN" w:bidi="ar-SA"/>
    </w:rPr>
  </w:style>
  <w:style w:type="paragraph" w:customStyle="1" w:styleId="77">
    <w:name w:val="修订3"/>
    <w:hidden/>
    <w:semiHidden/>
    <w:qFormat/>
    <w:uiPriority w:val="99"/>
    <w:rPr>
      <w:rFonts w:ascii="Arial" w:hAnsi="Arial" w:eastAsia="Times New Roman" w:cs="Times New Roman"/>
      <w:lang w:val="en-GB" w:eastAsia="zh-CN" w:bidi="ar-SA"/>
    </w:rPr>
  </w:style>
  <w:style w:type="paragraph" w:customStyle="1" w:styleId="78">
    <w:name w:val="Revision"/>
    <w:hidden/>
    <w:semiHidden/>
    <w:qFormat/>
    <w:uiPriority w:val="99"/>
    <w:rPr>
      <w:rFonts w:ascii="Arial" w:hAnsi="Arial" w:eastAsia="Times New Roman" w:cs="Times New Roman"/>
      <w:lang w:val="en-GB" w:eastAsia="zh-CN" w:bidi="ar-SA"/>
    </w:rPr>
  </w:style>
  <w:style w:type="paragraph" w:customStyle="1" w:styleId="79">
    <w:name w:val="listparagraph3"/>
    <w:basedOn w:val="1"/>
    <w:semiHidden/>
    <w:qFormat/>
    <w:uiPriority w:val="0"/>
    <w:pPr>
      <w:spacing w:after="100" w:afterAutospacing="1"/>
    </w:pPr>
    <w:rPr>
      <w:rFonts w:ascii="Calibri" w:hAnsi="Calibri" w:eastAsia="宋体" w:cs="Calibri"/>
    </w:rPr>
  </w:style>
  <w:style w:type="character" w:customStyle="1" w:styleId="80">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AFD3527F-078C-46FF-917C-D402B9DBDD85}">
  <ds:schemaRefs/>
</ds:datastoreItem>
</file>

<file path=customXml/itemProps3.xml><?xml version="1.0" encoding="utf-8"?>
<ds:datastoreItem xmlns:ds="http://schemas.openxmlformats.org/officeDocument/2006/customXml" ds:itemID="{AB067330-89E3-4362-9022-7EE22BBAB73C}">
  <ds:schemaRefs/>
</ds:datastoreItem>
</file>

<file path=customXml/itemProps4.xml><?xml version="1.0" encoding="utf-8"?>
<ds:datastoreItem xmlns:ds="http://schemas.openxmlformats.org/officeDocument/2006/customXml" ds:itemID="{DE493EDE-3679-4263-A95C-CB3FBE678763}">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4C4EBDAD-F25C-4923-B5F8-0F15B0BFAADC}">
  <ds:schemaRefs/>
</ds:datastoreItem>
</file>

<file path=docProps/app.xml><?xml version="1.0" encoding="utf-8"?>
<Properties xmlns="http://schemas.openxmlformats.org/officeDocument/2006/extended-properties" xmlns:vt="http://schemas.openxmlformats.org/officeDocument/2006/docPropsVTypes">
  <Template>Normal</Template>
  <Pages>3</Pages>
  <Words>1060</Words>
  <Characters>6048</Characters>
  <Lines>50</Lines>
  <Paragraphs>14</Paragraphs>
  <TotalTime>1</TotalTime>
  <ScaleCrop>false</ScaleCrop>
  <LinksUpToDate>false</LinksUpToDate>
  <CharactersWithSpaces>7094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2023-02-17T02:30:00Z</dcterms:created>
  <dc:creator>Ericsson User</dc:creator>
  <cp:lastModifiedBy>R2-2302307</cp:lastModifiedBy>
  <dcterms:modified xsi:type="dcterms:W3CDTF">2023-08-11T03:02:59Z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5245A45F82ED49B8BFE12D1B8BE8BBC7</vt:lpwstr>
  </property>
</Properties>
</file>